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V/72/2019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"Określa się wykaz przedsięwzięć 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2019-2023,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V/72/2019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marca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V/72/2019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marca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V/72/2019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 wieloletniej prognozie wynika ze zmian w budżecie dokonanych w miesiącach luty-marzec. Zmiany te, oraz podjęte na posiedzeniach Zarządu Powiatu decyzje, oddziałują na kształtowanie się podstawowych kategorii w budżecie roku obecnego a także wartości prognozy lat przyszłych. Wpływają ponadto na wartości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26.02.2019r.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907,00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712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371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971,00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511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105,00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kwot dotacji od Wojewody Śląskiego, w związku z uchwaleniem budżetu państwa. Zmiany objęły gospodarkę nieruchomościami, straż pożarną oraz pomoc społeczną (dps-y);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z budżetu państwa na realizację inwestycji adaptacji byłej kuchni w budynku WSP S.A. na potrzeby bloku operacyjnego i centralnej sterylizatorni;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zmniejszenia części oświatowej subwencji ogólnej po otrzymaniu od Ministra Finansów ostatecznej wersji wskaźników budżetowych na rok 2019;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zmniejszenia środków na realizację programu „Powiatowa Akademia Sukcesu Ucznia Szkoły Zawodowej” w związku z wytycznymi otrzymanymi z instytucji wdrażającej co do sposobu kwalifikowania środków dla partnerów projektu;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otrzymania dotacji z Krajowego Funduszu Szkoleniowego celem kształcenia pracowników Zespołu Szkół Budowlano-Architektonicznych;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dochodów z odpłatności w Domu Pomocy Społecznej w Łubiu.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grupie wydatków powiązane były zasadniczo z korektami strony dochodowej budżetu. Należy jednak zaznaczyć, iż pewne dodatkowe wydatki sfinansowane zostały przychodami z wolnych środków. Chodzi mianowicie o zabezpieczenie wkładu własnego w związku z wyższymi planowanymi kosztami realizacji przedsięwzięcia adaptacji byłej kuchni w budynku WSP S.A. na potrzeby bloku operacyjnego i centralnej sterylizatorni a także przesunięcie z roku 2020 na rok 2019 części wydatków na program unijny „Ponadnarodowa mobilność uczniów i absolwentów oraz kadry kształcenia zawodowego” prowadzony w Zespole Szkół Artystyczno-Projektowych.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rozchodów dla roku obecnego. Jeżeli chodzi o przyszłe lata prognozy dokonano następujących zmian: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 wydatki bieżące zmniejszono o kwotę 970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w związku ze zmianami w finansowaniu zadania „Powiatowa Akademia Sukcesu Ucznia Szkoły Zawodowej”;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 wydatki majątkowe zwiększono o 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w związku z planowanym aplikowaniem o środki na adaptacje byłej kuchni w budynku WSP S.A…… Nie było konieczności dokonywania przesunięć celem zabezpieczenia wkładu własnego dla powyższej inwestycji, bowiem przy tworzeniu wieloletniej prognozy założono w latach przyszłych pewną rezerwę środków na wypadek wzrostu wartości kosztorysowej zadań czy też możliwości aplikowania o dodatkowe środki zewnętrzne;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 wydatki bieżące zmniejszono o kwotę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w związku ze zmianami w finansowaniu zadania „Powiatowa Akademia Sukcesu Ucznia Szkoły Zawodowej”.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Pomimo wartościowo zauważalnego zwiększenia zaangażowania przychodów z wolnych środków w roku 2019 wskaźnik z art. 242 ustawy o finansach publicznych pogorszył się tylko nieznacznie. Większość bowiem wolnych środków przeznaczona została na sfinansowanie wydatków majątkowych. Dokonane w latach 2019-2021 korekty podstawowych kategorii prognozy okazały się również neutralne dla wskaźnika z art. 243 wspomnianej ustawy. Reasumując oba ustawowe wskaźniki są nadal spełnione w całym okresie prognozy z bezpieczną nadwyżką.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dokonano następujących korekt: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przesunięto z roku 2020 do roku 2019 środki w kwocie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w ramach zadania „Ponadnarodowa mobilność uczniów i absolwentów oraz kadry kształcenia zawodowego” realizowanego w Zespole Szkół Artystyczno-Projektowych, nie zmieniając przy tym łącznej wartości całego projektu. Powyższe spowodowane było przesunięciem części zadań do realizacji na rok 2019;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zmniejszono o 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951,00 zł łączną wartość dla zadania „Powiatowa Akademia Sukcesu Ucznia Szkoły Zawodowej” realizowanego w latach 2018-2021 przez Wydział Strategii i Rozwoju. Nie ma to związku ze zmianami w harmonogramie realizacji, czy też mniejszym zakresem wykonanych prac, a jedynie pozabudżetowym klasyfikowaniem środków przekazywanych dla partnerów projektu;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do wykazu zadanie „Leasing samochodu osobowego na potrzeby Starostwa Powiatowego” realizowane w latach 2019-2023 przez Wydział Gospodarczy w kwocie łącznej 93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 zł. Przesłanką do przyjęcia takiej formy finansowania użytkowanego samochodu była chęć rozłożenia wydatku w czasie oraz zmiana w przyszłości sposobu eksploatacji samochodów służbowych;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zaktualizowano wartość zadania „Adaptacja byłej kuchni budynku WSP S.A. na potrzeby bloku operacyjnego i centralnej sterylizatorni” podnosząc ją o 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174,00 zł. Powyższe spowodowane było wzrostem kosztów usług budowalnych. W chwili sporządzania obecnej prognozy całkowita wartość zadania to 12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174,00 zł, z tego na wkład własny przypada 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587,00 zł (w tym obligacje w wysokości 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zł) a na wartość dotacji celowej, o którą Powiat zamierza aplikować do budżetu państwa przypada 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587,00 zł.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2354, Dz.U. z 2019r. poz. 303, poz. 326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V/72/2019 z dnia 27 marca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2019-03-28T14:42:16Z</dcterms:created>
  <dcterms:modified xsi:type="dcterms:W3CDTF">2019-03-28T14:42:16Z</dcterms:modified>
  <cp:category>Akt prawny</cp:category>
</cp:coreProperties>
</file>