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XIII/146/2019</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29 października 2019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zmiany Wieloletniej Prognozy Finansowej Powiatu Tarnogórskiego na lata 2019-2028</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226,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227,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228,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229,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230,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231, art. 232,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sierpnia 2009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finansach publicznych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869 z 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Rozporządzenia Ministra Finansów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2013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jednostki samorządu terytorialnego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2015r.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92 z późn.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II/33/2018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Powiatu Tarnogórskiego na lata 2019-2028 otrzymuje brzmienie według załącznika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II/33/2018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Powiatu Tarnogórskiego na lata 2019-2028 otrzymuje brzmienie według załącznika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Uchwala się objaśnienia wartości Wieloletniej Prognozy Finansowej Powiatu Tarnogórskiego na lata 2019-2028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związku ze zmianami dokonanymi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Powiatu Tarnogórskiego.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Nr 1 do uchwały</w:t>
      </w:r>
      <w:r>
        <w:rPr>
          <w:rFonts w:ascii="Times New Roman" w:eastAsia="Times New Roman" w:hAnsi="Times New Roman" w:cs="Times New Roman"/>
          <w:b w:val="0"/>
          <w:i w:val="0"/>
          <w:caps w:val="0"/>
          <w:strike w:val="0"/>
          <w:color w:val="000000"/>
          <w:sz w:val="22"/>
          <w:u w:val="none" w:color="000000"/>
          <w:vertAlign w:val="baseline"/>
        </w:rPr>
        <w:t xml:space="preserve"> Nr XIII/146/2019</w:t>
      </w:r>
      <w:r>
        <w:rPr>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29 października 2019 r.</w:t>
      </w:r>
      <w:r>
        <w:rPr>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"Zalacznik1.pdf"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Zalacznik1.pdf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t>Załącznik Nr 2 do uchwały</w:t>
      </w:r>
      <w:r>
        <w:rPr>
          <w:rStyle w:val="Hyperlink"/>
          <w:rFonts w:ascii="Times New Roman" w:eastAsia="Times New Roman" w:hAnsi="Times New Roman" w:cs="Times New Roman"/>
          <w:b w:val="0"/>
          <w:i w:val="0"/>
          <w:caps w:val="0"/>
          <w:strike w:val="0"/>
          <w:color w:val="000000"/>
          <w:sz w:val="22"/>
          <w:u w:val="none" w:color="000000"/>
          <w:vertAlign w:val="baseline"/>
        </w:rPr>
        <w:t xml:space="preserve"> Nr XIII/146/2019</w:t>
      </w:r>
      <w:r>
        <w:rPr>
          <w:rStyle w:val="Hyperlink"/>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29 października 2019 r.</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"Zalacznik2.pdf"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Zalacznik2.pdf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120" w:after="120" w:line="360" w:lineRule="auto"/>
        <w:ind w:left="5498"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rPr>
          <w:rStyle w:val="Hyperlink"/>
          <w:rFonts w:ascii="Times New Roman" w:eastAsia="Times New Roman" w:hAnsi="Times New Roman" w:cs="Times New Roman"/>
          <w:b w:val="0"/>
          <w:i w:val="0"/>
          <w:caps w:val="0"/>
          <w:strike w:val="0"/>
          <w:color w:val="000000"/>
          <w:sz w:val="22"/>
          <w:u w:val="none" w:color="000000"/>
          <w:vertAlign w:val="baseline"/>
        </w:rPr>
        <w:t>Załącznik nr</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do uchwały nr XIII/146/2019</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dnia 29</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października 2019</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Objaśnienia do zmian kategorii i</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wartości przyjętych w</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Wieloletniej Prognozie Finansowej Powiatu Tarnogórskiego na lata 2019</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 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Zmiany w prognozie i przedsięwzięciach wieloletnich są rezultatem zdarzeń gospodarczych mających miejsce w miesiącach wrześniu i październiku. Wpłynęły one na wartości podstawowych kategorii w roku bieżącym. Zmianom uległy również dane dotyczące lat przyszłych. W poniższej tabeli przedstawiono zmiany podstawowych kategorii dla roku 2019 pomiędzy obecną a poprzednią wieloletnią prognozą finansową.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48"/>
        <w:gridCol w:w="3004"/>
        <w:gridCol w:w="2615"/>
        <w:gridCol w:w="2117"/>
        <w:gridCol w:w="172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7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Lp.</w:t>
            </w:r>
          </w:p>
        </w:tc>
        <w:tc>
          <w:tcPr>
            <w:tcW w:w="2895"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Tytuł pozycji</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 xml:space="preserve">Wartość WPF z dnia 24.09.2019r. </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Wartość WPF z obecnej uchwały</w:t>
            </w:r>
          </w:p>
        </w:tc>
        <w:tc>
          <w:tcPr>
            <w:tcW w:w="1665"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Różnica</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Ogółem dochody</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180</w:t>
            </w:r>
            <w:r>
              <w:t> </w:t>
            </w:r>
            <w:r>
              <w:t>060</w:t>
            </w:r>
            <w:r>
              <w:t> </w:t>
            </w:r>
            <w:r>
              <w:t>383,77</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179</w:t>
            </w:r>
            <w:r>
              <w:t> </w:t>
            </w:r>
            <w:r>
              <w:t>458</w:t>
            </w:r>
            <w:r>
              <w:t> </w:t>
            </w:r>
            <w:r>
              <w:t>006,44</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-602</w:t>
            </w:r>
            <w:r>
              <w:t> </w:t>
            </w:r>
            <w:r>
              <w:t>377,33</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Ogółem wydatki</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180</w:t>
            </w:r>
            <w:r>
              <w:t> </w:t>
            </w:r>
            <w:r>
              <w:t>874</w:t>
            </w:r>
            <w:r>
              <w:t> </w:t>
            </w:r>
            <w:r>
              <w:t>756,77</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180</w:t>
            </w:r>
            <w:r>
              <w:t> </w:t>
            </w:r>
            <w:r>
              <w:t>272</w:t>
            </w:r>
            <w:r>
              <w:t> </w:t>
            </w:r>
            <w:r>
              <w:t>379,44</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-602 377,33</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3</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Wynik budżetu (1-2)</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-814</w:t>
            </w:r>
            <w:r>
              <w:t> </w:t>
            </w:r>
            <w:r>
              <w:t>373,00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-814</w:t>
            </w:r>
            <w:r>
              <w:t> </w:t>
            </w:r>
            <w:r>
              <w:t>373,00</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Przychody ogółem</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r>
              <w:t> </w:t>
            </w:r>
            <w:r>
              <w:t>968</w:t>
            </w:r>
            <w:r>
              <w:t> </w:t>
            </w:r>
            <w:r>
              <w:t>373,00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r>
              <w:t> </w:t>
            </w:r>
            <w:r>
              <w:t>968</w:t>
            </w:r>
            <w:r>
              <w:t> </w:t>
            </w:r>
            <w:r>
              <w:t>373,00</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5</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Rozchody budżetu</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r>
              <w:t> </w:t>
            </w:r>
            <w:r>
              <w:t>154</w:t>
            </w:r>
            <w:r>
              <w:t> </w:t>
            </w:r>
            <w:r>
              <w:t>000,00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r>
              <w:t> </w:t>
            </w:r>
            <w:r>
              <w:t>154</w:t>
            </w:r>
            <w:r>
              <w:t> </w:t>
            </w:r>
            <w:r>
              <w:t>000,00</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p>
        </w:tc>
        <w:tc>
          <w:tcPr>
            <w:tcW w:w="289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Wynik operacyjny brutto =</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dochody bieżące - wydatki bieżące</w:t>
            </w:r>
          </w:p>
        </w:tc>
        <w:tc>
          <w:tcPr>
            <w:tcW w:w="2520" w:type="dxa"/>
            <w:tcBorders>
              <w:top w:val="single" w:sz="2" w:space="0" w:color="auto"/>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r>
              <w:t> </w:t>
            </w:r>
            <w:r>
              <w:t>605</w:t>
            </w:r>
            <w:r>
              <w:t> </w:t>
            </w:r>
            <w:r>
              <w:t>132,00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r>
              <w:t> </w:t>
            </w:r>
            <w:r>
              <w:t>611</w:t>
            </w:r>
            <w:r>
              <w:t> </w:t>
            </w:r>
            <w:r>
              <w:t>206,00</w:t>
            </w:r>
          </w:p>
        </w:tc>
        <w:tc>
          <w:tcPr>
            <w:tcW w:w="1665" w:type="dxa"/>
            <w:tcBorders>
              <w:top w:val="nil"/>
              <w:left w:val="nil"/>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r>
              <w:t> </w:t>
            </w:r>
            <w:r>
              <w:t>074,00</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Zmiany w planowanych dochodach dotyczyły: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zmniejszenia dotacji z budżetu państwa na zadanie adaptacji byłej kuchni budynku szpitala na potrzeby bloku operacyjnego i centralnej sterylizatorni, w związku z planowaną realizacją robót w roku 2020;</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zmniejszenia dotacji z Miasta Tarnowskie Góry na zadanie przebudowy ulicy Powstańców w związku z planowaną realizacją zadania w roku przyszłym, przy jednoczesnym wprowadzeniu do tegorocznego budżetu dotacji z Miasta Tarnowskie Góry na przebudowę skrzyżowania ulic Janasa, Sielanka, Starotarnowicka;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wprowadzenia do budżetu środków unijnych na realizację następujących projektów:</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„Międzynarodowa mobilność edukacyjna uczniów i absolwentów oraz kadry kształcenia zawodowego” w Technikum nr 13;</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„Mobilność kluczem do sukcesu – wzmocnienie kompetencji zawodowych uczniów Tarnogórskiej Sorbony” w Wieloprofilowym Zespole Szkół;</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„Zagraniczna mobilność początkiem drogi zawodowej” w Zespole Szkół Budowlano-Architektonicznych;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zwiększenia części oświatowej subwencji ogólnej zgodnie z decyzją Ministra Finansów z przeznaczeniem na podwyżki nauczycielskich pensji oraz pokrycie kosztów podwójnego naboru;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zwiększenia udziału Powiatu w podatku dochodowym od osób fizycznych z przeznaczeniem na dotacje dla niepublicznych placówek oświatowych. Warto zaznaczyć, iż przyjęte do budżetu łączne planowane dochody z tytułu udziałów w podatku dochodowym od osób fizycznych kształtują się nadal na poziomie poniżej wskaźnika ministerialnego otrzymanego w lutym bieżącego roku;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zwiększenia dotacji od Wojewody na realizację zadań zleconych w gospodarce nieruchomościami (w tym na obsługę administracyjną), pomocy społecznej oraz oświacie na zakup podręczników i materiałów ćwiczeniowych;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Style w:val="Hyperlink"/>
          <w:rFonts w:ascii="Times New Roman" w:eastAsia="Times New Roman" w:hAnsi="Times New Roman" w:cs="Times New Roman"/>
          <w:b w:val="0"/>
          <w:i w:val="0"/>
          <w:caps w:val="0"/>
          <w:strike w:val="0"/>
          <w:color w:val="000000"/>
          <w:sz w:val="22"/>
          <w:u w:val="none" w:color="000000"/>
          <w:vertAlign w:val="baseline"/>
        </w:rPr>
        <w:t>wprowadzenia do budżetu środków z Krajowego Funduszu Szkoleniowego na studia podyplomowe oraz szkolenia pracowników Starostwa;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Style w:val="Hyperlink"/>
          <w:rFonts w:ascii="Times New Roman" w:eastAsia="Times New Roman" w:hAnsi="Times New Roman" w:cs="Times New Roman"/>
          <w:b w:val="0"/>
          <w:i w:val="0"/>
          <w:caps w:val="0"/>
          <w:strike w:val="0"/>
          <w:color w:val="000000"/>
          <w:sz w:val="22"/>
          <w:u w:val="none" w:color="000000"/>
          <w:vertAlign w:val="baseline"/>
        </w:rPr>
        <w:t>korekt środków otrzymanych z Funduszu Pracy na: bieżące wypłaty wynagrodzeń pracowników Powiatowego Urzędu Pracy oraz nagrody za skuteczną walkę z problemem bezrobocia na terenie Powiatu;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Style w:val="Hyperlink"/>
          <w:rFonts w:ascii="Times New Roman" w:eastAsia="Times New Roman" w:hAnsi="Times New Roman" w:cs="Times New Roman"/>
          <w:b w:val="0"/>
          <w:i w:val="0"/>
          <w:caps w:val="0"/>
          <w:strike w:val="0"/>
          <w:color w:val="000000"/>
          <w:sz w:val="22"/>
          <w:u w:val="none" w:color="000000"/>
          <w:vertAlign w:val="baseline"/>
        </w:rPr>
        <w:t>zwiększeń w planach Starostwa Powiatowego oraz jednostek oświatowych i pomocy społecznej z tytułu ponadplanowo wygenerowanych dochodów.</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Zmiany w grupie wydatków wynikały z jednej strony z korekty planu dochodów budżetu. Z drugiej zaś strony miały charakter porządkujący, związany z dostosowaniem planu do zachodzących, nieprzewidzianych zdarzeń gospodarczych. Warto w tym miejscu podkreślić, iż prawdopodobnie w całości, zabezpieczony został plan wydatków dla niepublicznych placówek systemu oświaty. Dokonano tego w rezultacie przesunięć w ramach planu wydatków Wydziału Edukacji oraz dzięki zaangażowaniu dodatkowych dochodów z udziałów w PIT. Ewentualne doszacowania planu z tego tytułu, o ile wystąpią, nie powinny być już znaczące wartościowo. Wynikać będą ze zwiększonej liczby uczniów przyjętych do szkół niepublicznych.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analizowanym okresie nie uległa zmianie wartość rozchodów roku obecnego i w dalszych latach prognozy finansowej.</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Wartości podstawowych kategorii budżetowych w latach następnych uwzględniają dane z przygotowywanego obecnie projektu budżetu na rok 2020. Jeśli chodzi o dochody i wydatki to są one wyższe niż we wrześniowej wersji prognozy. Wynika to z danych otrzymanych z Ministerstwa Finansów, co do wartości udziałów w podatku PIT oraz wysokości części oświatowej i równoważącej subwencji ogólnej. Wyższe kwoty dochodów bieżących rozdysponowane zostały, zarówno do sfinansowania wydatków bieżących, jak też wydatków majątkowych. Pozytywnie wpłynęło to na kształtowanie się wskaźników z art. 242 i 243 ustawy o finansach publicznych, które to wskaźniki do końca bieżącego roku liczone są jeszcze w oparciu o dotychczas obowiązujące przepisy. Od roku 2020 wieloletnia prognoza finansowa sporządzana będzie już na innym wzorze. Inna będzie również metodologia obliczania wyżej wymienionych ustawowych wskaźników. Zasadniczo większego znaczenia nabiorą składowe bieżące dochodów i wydatków. Należy jednak zaznaczyć, iż podane dla przyszłych lat prognozy wartości nie są jeszcze ostateczne. Nadal nie posiadamy informacji od Wojewody o wysokości przyznanych dotacji celowych. Ponadto pewne zadania i parametry budżetowe są nadal kwestią prowadzonych na bieżąco uzgodnień.</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Wprowadzone zmiany spowodowały dla roku 2019 minimalną poprawę wskaźnika z art. 242 ustawy o finansach publicznych. Wynikało to z przeniesień środków z planu wydatków bieżących na majątkowe. Także w latach przyszłych relacja ta jest spełniona, podobnie zresztą jak wskaźnik z art. 243, ze stosunkowo bezpieczną nadwyżką.</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wykazie przedsięwzięć stanowiącym załącznik nr 2 zaszły następujące zmiany: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wprowadzono zadanie dofinansowane środkami strukturalnymi pn. „Mobilność kluczem do sukcesu – wzmocnienie kompetencji zawodowych uczniów Tarnogórskiej Sorbony” przewidziane do realizacji przez Wieloprofilowy Zespół Szkół w Tarnowskich Górach w latach 2019-2021 w łącznej kwocie 320 843,00 zł. Celem projektu jest umożliwienie młodzieży zdobycia doświadczenia w zakresie praktyk panujących w krajach wymiany;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wprowadzono zadanie dofinansowane środkami strukturalnymi pn. „Zagraniczna mobilność początkiem drogi zawodowej” przewidziane do realizacji przez Zespół Szkół Budowlano-Architektonicznych w Tarnowskich Górach w latach 2019-2020 w łącznej kwocie 225</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557,00 zł. Celem projektu jest umożliwienie młodzieży zdobycia doświadczenia w zakresie praktyk panujących w krajach wymiany;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wprowadzono zadanie dofinansowane środkami strukturalnymi pn. „Międzynarodowa mobilność edukacyjna uczniów i absolwentów oraz kadry kształcenia zawodowego” przewidziane do realizacji przez Technikum nr 13 w Radzionkowie w latach 2019-2021 w łącznej kwocie 501 901,00 zł. Celem projektu jest umożliwienie młodzieży zdobycia doświadczenia w zakresie praktyk panujących w krajach wymiany;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wprowadzono zadanie pod nazwą „Przebudowa pomieszczeń sanitarnych w Zespole Szkół Technicznych i Ogólnokształcących w Tarnowskich Górach” przewidziane do realizacji przez Wydział Inwestycji i Drogownictwa w latach 2019-2020 w łącznej kwocie 302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000,00 zł. Celem inwestycji jest poprawa warunków sanitarnych w budynku szkoły;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w związku z przekształceniem dotychczasowego Zespołu Szkół Techniczno-Ekonomicznych w Radzionkowie w Technikum nr 13 zmieniono dysponenta dla niewydatkowanych dotychczas środków w wysokości 74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406,00 zł w ramach programu strukturalnego „Matura paszportem w przyszłość”.</w:t>
      </w:r>
    </w:p>
    <w:sectPr>
      <w:footerReference w:type="default" r:id="rId8"/>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D4DA9CAD-C310-40C5-8F04-3084E2C58FD0.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D4DA9CAD-C310-40C5-8F04-3084E2C58FD0.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D4DA9CAD-C310-40C5-8F04-3084E2C58FD0.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D4DA9CAD-C310-40C5-8F04-3084E2C58FD0.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poz.2245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poz.1903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XIII/146/2019 z dnia 29 października 2019 r.</dc:title>
  <dc:subject>w sprawie zmiany Wieloletniej Prognozy Finansowej Powiatu Tarnogórskiego na lata 2019-2028</dc:subject>
  <dc:creator>nr367</dc:creator>
  <cp:lastModifiedBy>nr367</cp:lastModifiedBy>
  <cp:revision>1</cp:revision>
  <dcterms:created xsi:type="dcterms:W3CDTF">2019-10-30T12:43:39Z</dcterms:created>
  <dcterms:modified xsi:type="dcterms:W3CDTF">2019-10-30T12:43:39Z</dcterms:modified>
  <cp:category>Akt prawny</cp:category>
</cp:coreProperties>
</file>