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XIII/146/2019</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października 2019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zmiany Wieloletniej Prognozy Finansowej Powiatu Tarnogórskiego na lata 2019-2028</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226,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227,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228,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229,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230,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231, art. 232,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243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27</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sierpnia 2009</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finansach publicznych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869 z późn. 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Rozporządzenia Ministra Finansów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2013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jednostki samorządu terytorialnego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2015r.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92 z późn.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II/33/2018 Rady Powiatu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Powiatu Tarnogórskiego na lata 2019-2028 otrzymuje brzmienie według załącznika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II/33/2018 Rady Powiatu Tarnogórskiego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Wieloletniej Prognozy Finansowej Powiatu Tarnogórskiego na lata 2019-2028 otrzymuje brzmienie według załącznika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Uchwala się objaśnienia wartości Wieloletniej Prognozy Finansowej Powiatu Tarnogórskiego na lata 2019-2028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ze zmianami dokonanymi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budżecie Powiatu Tarnogórskiego.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dniem podjęcia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podlega ogłoszeniu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zwyczajowo przyjęty.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t>Załącznik Nr 1 do uchwały</w:t>
      </w:r>
      <w:r>
        <w:rPr>
          <w:rFonts w:ascii="Times New Roman" w:eastAsia="Times New Roman" w:hAnsi="Times New Roman" w:cs="Times New Roman"/>
          <w:b w:val="0"/>
          <w:i w:val="0"/>
          <w:caps w:val="0"/>
          <w:strike w:val="0"/>
          <w:color w:val="000000"/>
          <w:sz w:val="22"/>
          <w:u w:val="none" w:color="000000"/>
          <w:vertAlign w:val="baseline"/>
        </w:rPr>
        <w:t xml:space="preserve"> Nr XIII/146/2019</w:t>
      </w:r>
      <w:r>
        <w:rPr>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października 2019 r.</w:t>
      </w:r>
      <w:r>
        <w:rPr>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"Zalacznik1.pdf"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Zalacznik1.pdf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280" w:after="280" w:line="360" w:lineRule="auto"/>
        <w:ind w:left="4535"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850" w:right="850" w:bottom="1417" w:left="850" w:header="708" w:footer="708" w:gutter="0"/>
          <w:pgNumType w:start="1"/>
          <w:cols w:space="708"/>
          <w:docGrid w:linePitch="360"/>
        </w:sect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t>Załącznik Nr 2 do uchwały</w:t>
      </w:r>
      <w:r>
        <w:rPr>
          <w:rStyle w:val="Hyperlink"/>
          <w:rFonts w:ascii="Times New Roman" w:eastAsia="Times New Roman" w:hAnsi="Times New Roman" w:cs="Times New Roman"/>
          <w:b w:val="0"/>
          <w:i w:val="0"/>
          <w:caps w:val="0"/>
          <w:strike w:val="0"/>
          <w:color w:val="000000"/>
          <w:sz w:val="22"/>
          <w:u w:val="none" w:color="000000"/>
          <w:vertAlign w:val="baseline"/>
        </w:rPr>
        <w:t xml:space="preserve"> Nr XIII/146/2019</w:t>
      </w:r>
      <w:r>
        <w:rPr>
          <w:rStyle w:val="Hyperlink"/>
          <w:rFonts w:ascii="Times New Roman" w:eastAsia="Times New Roman" w:hAnsi="Times New Roman" w:cs="Times New Roman"/>
          <w:b w:val="0"/>
          <w:i w:val="0"/>
          <w:caps w:val="0"/>
          <w:strike w:val="0"/>
          <w:color w:val="000000"/>
          <w:sz w:val="22"/>
          <w:u w:val="none" w:color="000000"/>
          <w:vertAlign w:val="baseline"/>
        </w:rPr>
        <w:br/>
      </w:r>
      <w: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sz w:val="22"/>
        </w:rPr>
        <w:t>z dnia 29 października 2019 r.</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instrText xml:space="preserve"> HYPERLINK "Zalacznik2.pdf" </w:instrText>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t>Zalacznik2.pdf</w:t>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p>
    <w:p w:rsidR="00A77B3E">
      <w:pPr>
        <w:keepNext/>
        <w:spacing w:before="120" w:after="120" w:line="360" w:lineRule="auto"/>
        <w:ind w:left="5498" w:right="0" w:firstLine="0"/>
        <w:jc w:val="left"/>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fldChar w:fldCharType="begin"/>
      </w:r>
      <w:r>
        <w:rPr>
          <w:rStyle w:val="Hyperlink"/>
          <w:rFonts w:ascii="Times New Roman" w:eastAsia="Times New Roman" w:hAnsi="Times New Roman" w:cs="Times New Roman"/>
          <w:b w:val="0"/>
          <w:i w:val="0"/>
          <w:caps w:val="0"/>
          <w:strike w:val="0"/>
          <w:color w:val="000000"/>
          <w:sz w:val="22"/>
          <w:u w:val="none" w:color="000000"/>
          <w:vertAlign w:val="baseline"/>
        </w:rPr>
        <w:fldChar w:fldCharType="separate"/>
      </w:r>
      <w:r>
        <w:rPr>
          <w:rStyle w:val="Hyperlink"/>
          <w:rFonts w:ascii="Times New Roman" w:eastAsia="Times New Roman" w:hAnsi="Times New Roman" w:cs="Times New Roman"/>
          <w:b w:val="0"/>
          <w:i w:val="0"/>
          <w:caps w:val="0"/>
          <w:strike w:val="0"/>
          <w:color w:val="000000"/>
          <w:sz w:val="22"/>
          <w:u w:val="none" w:color="000000"/>
          <w:vertAlign w:val="baseline"/>
        </w:rPr>
        <w:fldChar w:fldCharType="end"/>
      </w:r>
      <w:r>
        <w:rPr>
          <w:rStyle w:val="Hyperlink"/>
          <w:rFonts w:ascii="Times New Roman" w:eastAsia="Times New Roman" w:hAnsi="Times New Roman" w:cs="Times New Roman"/>
          <w:b w:val="0"/>
          <w:i w:val="0"/>
          <w:caps w:val="0"/>
          <w:strike w:val="0"/>
          <w:color w:val="000000"/>
          <w:sz w:val="22"/>
          <w:u w:val="none" w:color="000000"/>
          <w:vertAlign w:val="baseline"/>
        </w:rPr>
        <w:t>Załącznik nr</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3</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do uchwały nr XIII/146/2019</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Rady Powiatu Tarnogórskiego</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z dnia 29</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października 2019</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i w:val="0"/>
          <w:caps w:val="0"/>
          <w:strike w:val="0"/>
          <w:color w:val="000000"/>
          <w:sz w:val="22"/>
          <w:u w:val="none" w:color="000000"/>
          <w:vertAlign w:val="baseline"/>
        </w:rPr>
        <w:t>Objaśnienia do zmian kategorii i</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wartości przyjętych w</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Wieloletniej Prognozie Finansowej Powiatu Tarnogórskiego na lata 2019</w:t>
      </w:r>
      <w:r>
        <w:rPr>
          <w:rStyle w:val="Hyperlink"/>
          <w:rFonts w:ascii="Times New Roman" w:eastAsia="Times New Roman" w:hAnsi="Times New Roman" w:cs="Times New Roman"/>
          <w:b/>
          <w:i w:val="0"/>
          <w:caps w:val="0"/>
          <w:strike w:val="0"/>
          <w:color w:val="000000"/>
          <w:sz w:val="22"/>
          <w:u w:val="none" w:color="000000"/>
          <w:vertAlign w:val="baseline"/>
        </w:rPr>
        <w:t> </w:t>
      </w:r>
      <w:r>
        <w:rPr>
          <w:rStyle w:val="Hyperlink"/>
          <w:rFonts w:ascii="Times New Roman" w:eastAsia="Times New Roman" w:hAnsi="Times New Roman" w:cs="Times New Roman"/>
          <w:b/>
          <w:i w:val="0"/>
          <w:caps w:val="0"/>
          <w:strike w:val="0"/>
          <w:color w:val="000000"/>
          <w:sz w:val="22"/>
          <w:u w:val="none" w:color="000000"/>
          <w:vertAlign w:val="baseline"/>
        </w:rPr>
        <w:t>– 2028</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Zmiany w prognozie i przedsięwzięciach wieloletnich są rezultatem zdarzeń gospodarczych mających miejsce w miesiącach wrześniu i październiku. Wpłynęły one na wartości podstawowych kategorii w roku bieżącym. Zmianom uległy również dane dotyczące lat przyszłych. W poniższej tabeli przedstawiono zmiany podstawowych kategorii dla roku 2019 pomiędzy obecną a poprzednią wieloletnią prognozą finansową.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748"/>
        <w:gridCol w:w="3004"/>
        <w:gridCol w:w="2615"/>
        <w:gridCol w:w="2117"/>
        <w:gridCol w:w="17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7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Lp.</w:t>
            </w:r>
          </w:p>
        </w:tc>
        <w:tc>
          <w:tcPr>
            <w:tcW w:w="2895"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Tytuł pozycji</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 xml:space="preserve">Wartość WPF z dnia 24.09.2019r. </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Wartość WPF z obecnej uchwały</w:t>
            </w:r>
          </w:p>
        </w:tc>
        <w:tc>
          <w:tcPr>
            <w:tcW w:w="1665"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Style w:val="Hyperlink"/>
                <w:rFonts w:ascii="Times New Roman" w:eastAsia="Times New Roman" w:hAnsi="Times New Roman" w:cs="Times New Roman"/>
                <w:b w:val="0"/>
                <w:i w:val="0"/>
                <w:caps w:val="0"/>
                <w:strike w:val="0"/>
                <w:color w:val="000000"/>
                <w:sz w:val="22"/>
                <w:u w:val="none" w:color="000000"/>
                <w:vertAlign w:val="baseline"/>
              </w:rPr>
            </w:pPr>
            <w:r>
              <w:rPr>
                <w:b/>
              </w:rPr>
              <w:t>Różnica</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w:t>
            </w:r>
          </w:p>
        </w:tc>
        <w:tc>
          <w:tcPr>
            <w:tcW w:w="289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Ogółem dochody</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180</w:t>
            </w:r>
            <w:r>
              <w:t> </w:t>
            </w:r>
            <w:r>
              <w:t>060</w:t>
            </w:r>
            <w:r>
              <w:t> </w:t>
            </w:r>
            <w:r>
              <w:t>383,77</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179</w:t>
            </w:r>
            <w:r>
              <w:t> </w:t>
            </w:r>
            <w:r>
              <w:t>458</w:t>
            </w:r>
            <w:r>
              <w:t> </w:t>
            </w:r>
            <w:r>
              <w:t>006,44</w:t>
            </w:r>
          </w:p>
        </w:tc>
        <w:tc>
          <w:tcPr>
            <w:tcW w:w="166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-602</w:t>
            </w:r>
            <w:r>
              <w:t> </w:t>
            </w:r>
            <w:r>
              <w:t>377,33</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2</w:t>
            </w:r>
          </w:p>
        </w:tc>
        <w:tc>
          <w:tcPr>
            <w:tcW w:w="289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Ogółem wydatki</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180</w:t>
            </w:r>
            <w:r>
              <w:t> </w:t>
            </w:r>
            <w:r>
              <w:t>874</w:t>
            </w:r>
            <w:r>
              <w:t> </w:t>
            </w:r>
            <w:r>
              <w:t>756,77</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180</w:t>
            </w:r>
            <w:r>
              <w:t> </w:t>
            </w:r>
            <w:r>
              <w:t>272</w:t>
            </w:r>
            <w:r>
              <w:t> </w:t>
            </w:r>
            <w:r>
              <w:t>379,44</w:t>
            </w:r>
          </w:p>
        </w:tc>
        <w:tc>
          <w:tcPr>
            <w:tcW w:w="166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-602 377,33</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3</w:t>
            </w:r>
          </w:p>
        </w:tc>
        <w:tc>
          <w:tcPr>
            <w:tcW w:w="289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Wynik budżetu (1-2)</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-814</w:t>
            </w:r>
            <w:r>
              <w:t> </w:t>
            </w:r>
            <w:r>
              <w:t>373,00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-814</w:t>
            </w:r>
            <w:r>
              <w:t> </w:t>
            </w:r>
            <w:r>
              <w:t>373,00</w:t>
            </w:r>
          </w:p>
        </w:tc>
        <w:tc>
          <w:tcPr>
            <w:tcW w:w="166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0,00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4</w:t>
            </w:r>
          </w:p>
        </w:tc>
        <w:tc>
          <w:tcPr>
            <w:tcW w:w="289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Przychody ogółem</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4</w:t>
            </w:r>
            <w:r>
              <w:t> </w:t>
            </w:r>
            <w:r>
              <w:t>968</w:t>
            </w:r>
            <w:r>
              <w:t> </w:t>
            </w:r>
            <w:r>
              <w:t>373,00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4</w:t>
            </w:r>
            <w:r>
              <w:t> </w:t>
            </w:r>
            <w:r>
              <w:t>968</w:t>
            </w:r>
            <w:r>
              <w:t> </w:t>
            </w:r>
            <w:r>
              <w:t>373,00</w:t>
            </w:r>
          </w:p>
        </w:tc>
        <w:tc>
          <w:tcPr>
            <w:tcW w:w="166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0,00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5</w:t>
            </w:r>
          </w:p>
        </w:tc>
        <w:tc>
          <w:tcPr>
            <w:tcW w:w="289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both"/>
              <w:rPr>
                <w:rStyle w:val="Hyperlink"/>
                <w:rFonts w:ascii="Times New Roman" w:eastAsia="Times New Roman" w:hAnsi="Times New Roman" w:cs="Times New Roman"/>
                <w:b w:val="0"/>
                <w:i w:val="0"/>
                <w:caps w:val="0"/>
                <w:strike w:val="0"/>
                <w:color w:val="000000"/>
                <w:sz w:val="22"/>
                <w:u w:val="none" w:color="000000"/>
                <w:vertAlign w:val="baseline"/>
              </w:rPr>
            </w:pPr>
            <w:r>
              <w:t>Rozchody budżetu</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4</w:t>
            </w:r>
            <w:r>
              <w:t> </w:t>
            </w:r>
            <w:r>
              <w:t>154</w:t>
            </w:r>
            <w:r>
              <w:t> </w:t>
            </w:r>
            <w:r>
              <w:t>000,00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4</w:t>
            </w:r>
            <w:r>
              <w:t> </w:t>
            </w:r>
            <w:r>
              <w:t>154</w:t>
            </w:r>
            <w:r>
              <w:t> </w:t>
            </w:r>
            <w:r>
              <w:t>000,00</w:t>
            </w:r>
          </w:p>
        </w:tc>
        <w:tc>
          <w:tcPr>
            <w:tcW w:w="166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bottom"/>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0,00</w:t>
            </w:r>
          </w:p>
        </w:tc>
      </w:tr>
      <w:tr>
        <w:tblPrEx>
          <w:tblW w:w="5000" w:type="pct"/>
          <w:tblLayout w:type="fixed"/>
          <w:tblCellMar>
            <w:left w:w="108" w:type="dxa"/>
            <w:right w:w="108" w:type="dxa"/>
          </w:tblCellMar>
        </w:tblPrEx>
        <w:trPr>
          <w:trHeight w:hRule="auto" w:val="0"/>
        </w:trPr>
        <w:tc>
          <w:tcPr>
            <w:tcW w:w="720" w:type="dxa"/>
            <w:tcBorders>
              <w:top w:val="nil"/>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right"/>
              <w:rPr>
                <w:rStyle w:val="Hyperlink"/>
                <w:rFonts w:ascii="Times New Roman" w:eastAsia="Times New Roman" w:hAnsi="Times New Roman" w:cs="Times New Roman"/>
                <w:b w:val="0"/>
                <w:i w:val="0"/>
                <w:caps w:val="0"/>
                <w:strike w:val="0"/>
                <w:color w:val="000000"/>
                <w:sz w:val="22"/>
                <w:u w:val="none" w:color="000000"/>
                <w:vertAlign w:val="baseline"/>
              </w:rPr>
            </w:pPr>
            <w:r>
              <w:t>6</w:t>
            </w:r>
          </w:p>
        </w:tc>
        <w:tc>
          <w:tcPr>
            <w:tcW w:w="289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Wynik operacyjny brutto =</w:t>
            </w:r>
            <w:r>
              <w:rPr>
                <w:rStyle w:val="Hyperlink"/>
                <w:rFonts w:ascii="Times New Roman" w:eastAsia="Times New Roman" w:hAnsi="Times New Roman" w:cs="Times New Roman"/>
                <w:b w:val="0"/>
                <w:i w:val="0"/>
                <w:caps w:val="0"/>
                <w:strike w:val="0"/>
                <w:color w:val="000000"/>
                <w:sz w:val="22"/>
                <w:u w:val="none" w:color="000000"/>
                <w:vertAlign w:val="baseline"/>
              </w:rPr>
              <w:br/>
            </w:r>
            <w:r>
              <w:rPr>
                <w:rStyle w:val="Hyperlink"/>
                <w:rFonts w:ascii="Times New Roman" w:eastAsia="Times New Roman" w:hAnsi="Times New Roman" w:cs="Times New Roman"/>
                <w:b w:val="0"/>
                <w:i w:val="0"/>
                <w:caps w:val="0"/>
                <w:strike w:val="0"/>
                <w:color w:val="000000"/>
                <w:sz w:val="22"/>
                <w:u w:val="none" w:color="000000"/>
                <w:vertAlign w:val="baseline"/>
              </w:rPr>
              <w:t>dochody bieżące - wydatki bieżące</w:t>
            </w:r>
          </w:p>
        </w:tc>
        <w:tc>
          <w:tcPr>
            <w:tcW w:w="2520" w:type="dxa"/>
            <w:tcBorders>
              <w:top w:val="single" w:sz="2" w:space="0" w:color="auto"/>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t>6</w:t>
            </w:r>
            <w:r>
              <w:t> </w:t>
            </w:r>
            <w:r>
              <w:t>605</w:t>
            </w:r>
            <w:r>
              <w:t> </w:t>
            </w:r>
            <w:r>
              <w:t>132,00</w:t>
            </w:r>
          </w:p>
        </w:tc>
        <w:tc>
          <w:tcPr>
            <w:tcW w:w="20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t>6</w:t>
            </w:r>
            <w:r>
              <w:t> </w:t>
            </w:r>
            <w:r>
              <w:t>611</w:t>
            </w:r>
            <w:r>
              <w:t> </w:t>
            </w:r>
            <w:r>
              <w:t>206,00</w:t>
            </w:r>
          </w:p>
        </w:tc>
        <w:tc>
          <w:tcPr>
            <w:tcW w:w="1665" w:type="dxa"/>
            <w:tcBorders>
              <w:top w:val="nil"/>
              <w:left w:val="nil"/>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right"/>
              <w:rPr>
                <w:rStyle w:val="Hyperlink"/>
                <w:rFonts w:ascii="Times New Roman" w:eastAsia="Times New Roman" w:hAnsi="Times New Roman" w:cs="Times New Roman"/>
                <w:b w:val="0"/>
                <w:i w:val="0"/>
                <w:caps w:val="0"/>
                <w:strike w:val="0"/>
                <w:color w:val="000000"/>
                <w:sz w:val="22"/>
                <w:u w:val="none" w:color="000000"/>
                <w:vertAlign w:val="baseline"/>
              </w:rPr>
            </w:pPr>
            <w:r>
              <w:t>6</w:t>
            </w:r>
            <w:r>
              <w:t> </w:t>
            </w:r>
            <w:r>
              <w:t>074,00</w:t>
            </w:r>
          </w:p>
        </w:tc>
      </w:tr>
    </w:tbl>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Zmiany w planowanych dochodach dotyczyły: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zmniejszenia dotacji z budżetu państwa na zadanie adaptacji byłej kuchni budynku szpitala na potrzeby bloku operacyjnego i centralnej sterylizatorni, w związku z planowaną realizacją robót w roku 2020;</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zmniejszenia dotacji z Miasta Tarnowskie Góry na zadanie przebudowy ulicy Powstańców w związku z planowaną realizacją zadania w roku przyszłym, przy jednoczesnym wprowadzeniu do tegorocznego budżetu dotacji z Miasta Tarnowskie Góry na przebudowę skrzyżowania ulic Janasa, Sielanka, Starotarnowicka;</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wprowadzenia do budżetu środków unijnych na realizację następujących projektów:</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„Międzynarodowa mobilność edukacyjna uczniów i absolwentów oraz kadry kształcenia zawodowego” w Technikum nr 13;</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„Mobilność kluczem do sukcesu – wzmocnienie kompetencji zawodowych uczniów Tarnogórskiej Sorbony” w Wieloprofilowym Zespole Szkół;</w:t>
      </w:r>
    </w:p>
    <w:p w:rsidR="00A77B3E">
      <w:pPr>
        <w:keepNext w:val="0"/>
        <w:keepLines w:val="0"/>
        <w:spacing w:before="120" w:after="120" w:line="240" w:lineRule="auto"/>
        <w:ind w:left="340" w:right="0" w:hanging="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„Zagraniczna mobilność początkiem drogi zawodowej” w Zespole Szkół Budowlano-Architektonicznych;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zwiększenia części oświatowej subwencji ogólnej zgodnie z decyzją Ministra Finansów z przeznaczeniem na podwyżki nauczycielskich pensji oraz pokrycie kosztów podwójnego naboru;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zwiększenia udziału Powiatu w podatku dochodowym od osób fizycznych z przeznaczeniem na dotacje dla niepublicznych placówek oświatowych. Warto zaznaczyć, iż przyjęte do budżetu łączne planowane dochody z tytułu udziałów w podatku dochodowym od osób fizycznych kształtują się nadal na poziomie poniżej wskaźnika ministerialnego otrzymanego w lutym bieżącego roku;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Style w:val="Hyperlink"/>
          <w:rFonts w:ascii="Times New Roman" w:eastAsia="Times New Roman" w:hAnsi="Times New Roman" w:cs="Times New Roman"/>
          <w:b w:val="0"/>
          <w:i w:val="0"/>
          <w:caps w:val="0"/>
          <w:strike w:val="0"/>
          <w:color w:val="000000"/>
          <w:sz w:val="22"/>
          <w:u w:val="none" w:color="000000"/>
          <w:vertAlign w:val="baseline"/>
        </w:rPr>
        <w:t>zwiększenia dotacji od Wojewody na realizację zadań zleconych w gospodarce nieruchomościami (w tym na obsługę administracyjną), pomocy społecznej oraz oświacie na zakup podręczników i materiałów ćwiczeniowych;</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Style w:val="Hyperlink"/>
          <w:rFonts w:ascii="Times New Roman" w:eastAsia="Times New Roman" w:hAnsi="Times New Roman" w:cs="Times New Roman"/>
          <w:b w:val="0"/>
          <w:i w:val="0"/>
          <w:caps w:val="0"/>
          <w:strike w:val="0"/>
          <w:color w:val="000000"/>
          <w:sz w:val="22"/>
          <w:u w:val="none" w:color="000000"/>
          <w:vertAlign w:val="baseline"/>
        </w:rPr>
        <w:t>wprowadzenia do budżetu środków z Krajowego Funduszu Szkoleniowego na studia podyplomowe oraz szkolenia pracowników Starostwa;</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Style w:val="Hyperlink"/>
          <w:rFonts w:ascii="Times New Roman" w:eastAsia="Times New Roman" w:hAnsi="Times New Roman" w:cs="Times New Roman"/>
          <w:b w:val="0"/>
          <w:i w:val="0"/>
          <w:caps w:val="0"/>
          <w:strike w:val="0"/>
          <w:color w:val="000000"/>
          <w:sz w:val="22"/>
          <w:u w:val="none" w:color="000000"/>
          <w:vertAlign w:val="baseline"/>
        </w:rPr>
        <w:t>korekt środków otrzymanych z Funduszu Pracy na: bieżące wypłaty wynagrodzeń pracowników Powiatowego Urzędu Pracy oraz nagrody za skuteczną walkę z problemem bezrobocia na terenie Powiatu;</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Style w:val="Hyperlink"/>
          <w:rFonts w:ascii="Times New Roman" w:eastAsia="Times New Roman" w:hAnsi="Times New Roman" w:cs="Times New Roman"/>
          <w:b w:val="0"/>
          <w:i w:val="0"/>
          <w:caps w:val="0"/>
          <w:strike w:val="0"/>
          <w:color w:val="000000"/>
          <w:sz w:val="22"/>
          <w:u w:val="none" w:color="000000"/>
          <w:vertAlign w:val="baseline"/>
        </w:rPr>
        <w:t>zwiększeń w planach Starostwa Powiatowego oraz jednostek oświatowych i pomocy społecznej z tytułu ponadplanowo wygenerowanych dochodów.</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Zmiany w grupie wydatków wynikały z jednej strony z korekty planu dochodów budżetu. Z drugiej zaś strony miały charakter porządkujący, związany z dostosowaniem planu do zachodzących, nieprzewidzianych zdarzeń gospodarczych. Warto w tym miejscu podkreślić, iż prawdopodobnie w całości, zabezpieczony został plan wydatków dla niepublicznych placówek systemu oświaty. Dokonano tego w rezultacie przesunięć w ramach planu wydatków Wydziału Edukacji oraz dzięki zaangażowaniu dodatkowych dochodów z udziałów w PIT. Ewentualne doszacowania planu z tego tytułu, o ile wystąpią, nie powinny być już znaczące wartościowo. Wynikać będą ze zwiększonej liczby uczniów przyjętych do szkół niepublicznych.</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analizowanym okresie nie uległa zmianie wartość rozchodów roku obecnego i w dalszych latach prognozy finansowej.</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Wartości podstawowych kategorii budżetowych w latach następnych uwzględniają dane z przygotowywanego obecnie projektu budżetu na rok 2020. Jeśli chodzi o dochody i wydatki to są one wyższe niż we wrześniowej wersji prognozy. Wynika to z danych otrzymanych z Ministerstwa Finansów, co do wartości udziałów w podatku PIT oraz wysokości części oświatowej i równoważącej subwencji ogólnej. Wyższe kwoty dochodów bieżących rozdysponowane zostały, zarówno do sfinansowania wydatków bieżących, jak też wydatków majątkowych. Pozytywnie wpłynęło to na kształtowanie się wskaźników z art. 242 i 243 ustawy o finansach publicznych, które to wskaźniki do końca bieżącego roku liczone są jeszcze w oparciu o dotychczas obowiązujące przepisy. Od roku 2020 wieloletnia prognoza finansowa sporządzana będzie już na innym wzorze. Inna będzie również metodologia obliczania wyżej wymienionych ustawowych wskaźników. Zasadniczo większego znaczenia nabiorą składowe bieżące dochodów i wydatków. Należy jednak zaznaczyć, iż podane dla przyszłych lat prognozy wartości nie są jeszcze ostateczne. Nadal nie posiadamy informacji od Wojewody o wysokości przyznanych dotacji celowych. Ponadto pewne zadania i parametry budżetowe są nadal kwestią prowadzonych na bieżąco uzgodnień.</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Wprowadzone zmiany spowodowały dla roku 2019 minimalną poprawę wskaźnika z art. 242 ustawy o finansach publicznych. Wynikało to z przeniesień środków z planu wydatków bieżących na majątkowe. Także w latach przyszłych relacja ta jest spełniona, podobnie zresztą jak wskaźnik z art. 243, ze stosunkowo bezpieczną nadwyżką.</w:t>
      </w:r>
    </w:p>
    <w:p w:rsidR="00A77B3E">
      <w:pPr>
        <w:keepNext w:val="0"/>
        <w:keepLines w:val="0"/>
        <w:spacing w:before="120" w:after="120" w:line="240" w:lineRule="auto"/>
        <w:ind w:left="283" w:right="0" w:firstLine="227"/>
        <w:jc w:val="both"/>
        <w:rPr>
          <w:rStyle w:val="Hyperlink"/>
          <w:rFonts w:ascii="Times New Roman" w:eastAsia="Times New Roman" w:hAnsi="Times New Roman" w:cs="Times New Roman"/>
          <w:b w:val="0"/>
          <w:i w:val="0"/>
          <w:caps w:val="0"/>
          <w:strike w:val="0"/>
          <w:color w:val="000000"/>
          <w:sz w:val="22"/>
          <w:u w:val="none" w:color="000000"/>
          <w:vertAlign w:val="baseline"/>
        </w:rPr>
      </w:pPr>
      <w:r>
        <w:rPr>
          <w:rStyle w:val="Hyperlink"/>
          <w:rFonts w:ascii="Times New Roman" w:eastAsia="Times New Roman" w:hAnsi="Times New Roman" w:cs="Times New Roman"/>
          <w:b w:val="0"/>
          <w:i w:val="0"/>
          <w:caps w:val="0"/>
          <w:strike w:val="0"/>
          <w:color w:val="000000"/>
          <w:sz w:val="22"/>
          <w:u w:val="none" w:color="000000"/>
          <w:vertAlign w:val="baseline"/>
        </w:rPr>
        <w:t>W wykazie przedsięwzięć stanowiącym załącznik nr 2 zaszły następujące zmiany: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Style w:val="Hyperlink"/>
          <w:rFonts w:ascii="Times New Roman" w:eastAsia="Times New Roman" w:hAnsi="Times New Roman" w:cs="Times New Roman"/>
          <w:b w:val="0"/>
          <w:i w:val="0"/>
          <w:caps w:val="0"/>
          <w:strike w:val="0"/>
          <w:color w:val="000000"/>
          <w:sz w:val="22"/>
          <w:u w:val="none" w:color="000000"/>
          <w:vertAlign w:val="baseline"/>
        </w:rPr>
        <w:t>wprowadzono zadanie dofinansowane środkami strukturalnymi pn. „Mobilność kluczem do sukcesu – wzmocnienie kompetencji zawodowych uczniów Tarnogórskiej Sorbony” przewidziane do realizacji przez Wieloprofilowy Zespół Szkół w Tarnowskich Górach w latach 2019-2021 w łącznej kwocie 320 843,00 zł. Celem projektu jest umożliwienie młodzieży zdobycia doświadczenia w zakresie praktyk panujących w krajach wymiany;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Style w:val="Hyperlink"/>
          <w:rFonts w:ascii="Times New Roman" w:eastAsia="Times New Roman" w:hAnsi="Times New Roman" w:cs="Times New Roman"/>
          <w:b w:val="0"/>
          <w:i w:val="0"/>
          <w:caps w:val="0"/>
          <w:strike w:val="0"/>
          <w:color w:val="000000"/>
          <w:sz w:val="22"/>
          <w:u w:val="none" w:color="000000"/>
          <w:vertAlign w:val="baseline"/>
        </w:rPr>
        <w:t>wprowadzono zadanie dofinansowane środkami strukturalnymi pn. „Zagraniczna mobilność początkiem drogi zawodowej” przewidziane do realizacji przez Zespół Szkół Budowlano-Architektonicznych w Tarnowskich Górach w latach 2019-2020 w łącznej kwocie 225</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557,00 zł. Celem projektu jest umożliwienie młodzieży zdobycia doświadczenia w zakresie praktyk panujących w krajach wymiany;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Style w:val="Hyperlink"/>
          <w:rFonts w:ascii="Times New Roman" w:eastAsia="Times New Roman" w:hAnsi="Times New Roman" w:cs="Times New Roman"/>
          <w:b w:val="0"/>
          <w:i w:val="0"/>
          <w:caps w:val="0"/>
          <w:strike w:val="0"/>
          <w:color w:val="000000"/>
          <w:sz w:val="22"/>
          <w:u w:val="none" w:color="000000"/>
          <w:vertAlign w:val="baseline"/>
        </w:rPr>
        <w:t>wprowadzono zadanie dofinansowane środkami strukturalnymi pn. „Międzynarodowa mobilność edukacyjna uczniów i absolwentów oraz kadry kształcenia zawodowego” przewidziane do realizacji przez Technikum nr 13 w Radzionkowie w latach 2019-2021 w łącznej kwocie 501 901,00 zł. Celem projektu jest umożliwienie młodzieży zdobycia doświadczenia w zakresie praktyk panujących w krajach wymiany;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Style w:val="Hyperlink"/>
          <w:rFonts w:ascii="Times New Roman" w:eastAsia="Times New Roman" w:hAnsi="Times New Roman" w:cs="Times New Roman"/>
          <w:b w:val="0"/>
          <w:i w:val="0"/>
          <w:caps w:val="0"/>
          <w:strike w:val="0"/>
          <w:color w:val="000000"/>
          <w:sz w:val="22"/>
          <w:u w:val="none" w:color="000000"/>
          <w:vertAlign w:val="baseline"/>
        </w:rPr>
        <w:t>wprowadzono zadanie pod nazwą „Przebudowa pomieszczeń sanitarnych w Zespole Szkół Technicznych i Ogólnokształcących w Tarnowskich Górach” przewidziane do realizacji przez Wydział Inwestycji i Drogownictwa w latach 2019-2020 w łącznej kwocie 302</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000,00 zł. Celem inwestycji jest poprawa warunków sanitarnych w budynku szkoły;</w:t>
      </w:r>
    </w:p>
    <w:p w:rsidR="00A77B3E">
      <w:pPr>
        <w:keepNext w:val="0"/>
        <w:keepLines/>
        <w:spacing w:before="120" w:after="120" w:line="240" w:lineRule="auto"/>
        <w:ind w:left="0" w:right="0" w:firstLine="340"/>
        <w:jc w:val="both"/>
        <w:rPr>
          <w:rStyle w:val="Hyperlink"/>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Style w:val="Hyperlink"/>
          <w:rFonts w:ascii="Times New Roman" w:eastAsia="Times New Roman" w:hAnsi="Times New Roman" w:cs="Times New Roman"/>
          <w:b w:val="0"/>
          <w:i w:val="0"/>
          <w:caps w:val="0"/>
          <w:strike w:val="0"/>
          <w:color w:val="000000"/>
          <w:sz w:val="22"/>
          <w:u w:val="none" w:color="000000"/>
          <w:vertAlign w:val="baseline"/>
        </w:rPr>
        <w:t>w związku z przekształceniem dotychczasowego Zespołu Szkół Techniczno-Ekonomicznych w Radzionkowie w Technikum nr 13 zmieniono dysponenta dla niewydatkowanych dotychczas środków w wysokości 74</w:t>
      </w:r>
      <w:r>
        <w:rPr>
          <w:rStyle w:val="Hyperlink"/>
          <w:rFonts w:ascii="Times New Roman" w:eastAsia="Times New Roman" w:hAnsi="Times New Roman" w:cs="Times New Roman"/>
          <w:b w:val="0"/>
          <w:i w:val="0"/>
          <w:caps w:val="0"/>
          <w:strike w:val="0"/>
          <w:color w:val="000000"/>
          <w:sz w:val="22"/>
          <w:u w:val="none" w:color="000000"/>
          <w:vertAlign w:val="baseline"/>
        </w:rPr>
        <w:t> </w:t>
      </w:r>
      <w:r>
        <w:rPr>
          <w:rStyle w:val="Hyperlink"/>
          <w:rFonts w:ascii="Times New Roman" w:eastAsia="Times New Roman" w:hAnsi="Times New Roman" w:cs="Times New Roman"/>
          <w:b w:val="0"/>
          <w:i w:val="0"/>
          <w:caps w:val="0"/>
          <w:strike w:val="0"/>
          <w:color w:val="000000"/>
          <w:sz w:val="22"/>
          <w:u w:val="none" w:color="000000"/>
          <w:vertAlign w:val="baseline"/>
        </w:rPr>
        <w:t>406,00 zł w ramach programu strukturalnego „Matura paszportem w przyszłość”.</w:t>
      </w:r>
    </w:p>
    <w:sectPr>
      <w:footerReference w:type="default" r:id="rId8"/>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D4DA9CAD-C310-40C5-8F04-3084E2C58FD0.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D4DA9CAD-C310-40C5-8F04-3084E2C58FD0.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D4DA9CAD-C310-40C5-8F04-3084E2C58FD0.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D4DA9CAD-C310-40C5-8F04-3084E2C58FD0.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cente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poz.2245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poz.1903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XIII/146/2019 z dnia 29 października 2019 r.</dc:title>
  <dc:subject>w sprawie zmiany Wieloletniej Prognozy Finansowej Powiatu Tarnogórskiego na lata 2019-2028</dc:subject>
  <dc:creator>nr367</dc:creator>
  <cp:lastModifiedBy>nr367</cp:lastModifiedBy>
  <cp:revision>1</cp:revision>
  <dcterms:created xsi:type="dcterms:W3CDTF">2019-10-30T12:43:39Z</dcterms:created>
  <dcterms:modified xsi:type="dcterms:W3CDTF">2019-10-30T12:43:39Z</dcterms:modified>
  <cp:category>Akt prawny</cp:category>
</cp:coreProperties>
</file>