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XIII/147/2019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29 października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rozpatrzenia petycji złożonej przez CASUS NOSTER Kancelaria Radcy Prawnego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16a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 ze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lipca 2014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petycjach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870)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zapoznaniu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petycją złożoną przez CASUS NOSTER Kancelaria Radcy Prawnego, dotyczącą wprowadzenia „Polityki zarządzania konfliktem interesów”, Rada Powiatu Tarnogórskiego rozpatruje petycję negatywnie. Uzasadnienie stanowi załącznik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Tarnogórskiego, zobowiązując go do przesłania wnoszącemu petycję niniejszej uchwały.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  <w:r>
        <w:rPr>
          <w:rStyle w:val="DefaultParagraphFont"/>
          <w:b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>Uzasadnienie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W dniu 21 sierpnia 2019 roku do Starostwa Powiatowego w Tarnowskich Górach wpłynęła petycja złożona przez CASUS NOSTER Kancelaria Radcy Prawnego, dotycząca wprowadzenia w Starostwie Powiatowym „Polityki zarządzania konfliktem interesów”.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Przewodniczący Rady Powiatu przekazał petycję Komisji Skarg, Wniosków i Petycji Rady Powiatu Tarnogórskiego, celem rozpatrzenia.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Komisja Skarg, Wniosków i Petycji Rady Powiatu Tarnogórskiego na posiedzeniach w dniach 27 sierpnia oraz 24 września 2019 roku zapoznała się ze sprawą.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W dniu 27 sierpnia 2019 roku Komisja Skarg, Wniosków i Petycji Rady Powiatu Tarnogórskiego, złożyła wniosek do Zarządu Powiatu Tarnogórskiego, aby zwrócił się do radcy prawnego w sprawie wyrażenia opinii dotyczącej obowiązku stworzenia „Polityki zarządzania konfliktem interesów”.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W dniu 24 września 2019 roku Komisja Skarg, Wniosków i Petycji Rady Powiatu Tarnogórskiego zapoznała się z opinią, w której radca prawny wskazał, że nie istnieje prawny obowiązek stworzenia opisanej w zaleceniach CBA „Polityki zarządzania konfliktem interesów”. W polskim ustawodawstwie nie istnieje prawna definicja konfliktu interesów, można natomiast posłużyć się określeniem opracowanym przez Organizację Współpracy Gospodarczej i Rozwoju, zgodnie z którym, konflikt interesów to konflikt pomiędzy służbą publiczną urzędnika i jego interesem jako osoby prywatnej, mający niekorzystny wpływ na interes publiczny.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W obrocie prawnym funkcjonuje szereg przepisów skierowanych do radnych powiatu, które mogą odnieść się do przedmiotowej sprawy, m. in. ustawa z dnia 7 maja 2005 roku o działalności lobbingowej w procesie stanowienia prawa, czy art. 23-25h ustawy z dnia 5 czerwca 1998 roku o samorządzie powiatowym.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Mając na uwadze powyższe Komisja Skarg, Wniosków i Petycji  w głosowaniu: 3 głosy „za”, 0 głosów „przeciw”, 0 głosów „wstrzymujących się” rozpatrzyła petycję negatywnie i wnosi o przyjęcie przedmiotowej uchwały.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850" w:right="850" w:bottom="1417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A84D9549-9BDB-47B4-9A8C-576C38264ED5.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A84D9549-9BDB-47B4-9A8C-576C38264ED5.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1815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paragraph" w:customStyle="1" w:styleId="Normal0">
    <w:name w:val="Normal_0"/>
    <w:qFormat/>
    <w:pPr>
      <w:jc w:val="both"/>
    </w:pPr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XIII/147/2019 z dnia 29 października 2019 r.</dc:title>
  <dc:subject>w sprawie rozpatrzenia petycji złożonej przez CASUS NOSTER Kancelaria Radcy Prawnego</dc:subject>
  <dc:creator>nr367</dc:creator>
  <cp:lastModifiedBy>nr367</cp:lastModifiedBy>
  <cp:revision>1</cp:revision>
  <dcterms:created xsi:type="dcterms:W3CDTF">2019-10-30T12:45:12Z</dcterms:created>
  <dcterms:modified xsi:type="dcterms:W3CDTF">2019-10-30T12:45:12Z</dcterms:modified>
  <cp:category>Akt prawny</cp:category>
</cp:coreProperties>
</file>