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3.0.0 -->
  <w:body>
    <w:p w:rsidR="00A77B3E">
      <w:pPr>
        <w:ind w:left="0"/>
        <w:jc w:val="center"/>
        <w:rPr>
          <w:rFonts w:ascii="Times New Roman" w:eastAsia="Times New Roman" w:hAnsi="Times New Roman" w:cs="Times New Roman"/>
          <w:b/>
          <w:caps/>
          <w:sz w:val="22"/>
        </w:rPr>
      </w:pPr>
      <w:r>
        <w:rPr>
          <w:rFonts w:ascii="Times New Roman" w:eastAsia="Times New Roman" w:hAnsi="Times New Roman" w:cs="Times New Roman"/>
          <w:b/>
          <w:caps/>
          <w:sz w:val="22"/>
        </w:rPr>
        <w:t>Uchwała</w:t>
      </w:r>
      <w:r>
        <w:rPr>
          <w:rFonts w:ascii="Times New Roman" w:eastAsia="Times New Roman" w:hAnsi="Times New Roman" w:cs="Times New Roman"/>
          <w:b/>
          <w:caps/>
          <w:sz w:val="22"/>
        </w:rPr>
        <w:t xml:space="preserve"> Nr XVIII/183/2020</w:t>
      </w:r>
      <w:r>
        <w:rPr>
          <w:rFonts w:ascii="Times New Roman" w:eastAsia="Times New Roman" w:hAnsi="Times New Roman" w:cs="Times New Roman"/>
          <w:b/>
          <w:caps/>
          <w:sz w:val="22"/>
        </w:rPr>
        <w:br/>
      </w:r>
      <w:r>
        <w:rPr>
          <w:rFonts w:ascii="Times New Roman" w:eastAsia="Times New Roman" w:hAnsi="Times New Roman" w:cs="Times New Roman"/>
          <w:b/>
          <w:caps/>
          <w:sz w:val="22"/>
        </w:rPr>
        <w:t>Rady Powiatu Tarnogórskiego</w:t>
      </w:r>
    </w:p>
    <w:p w:rsidR="00A77B3E">
      <w:pPr>
        <w:spacing w:before="280" w:after="280"/>
        <w:ind w:left="0"/>
        <w:jc w:val="center"/>
        <w:rPr>
          <w:rFonts w:ascii="Times New Roman" w:eastAsia="Times New Roman" w:hAnsi="Times New Roman" w:cs="Times New Roman"/>
          <w:b/>
          <w:caps/>
          <w:sz w:val="22"/>
        </w:rPr>
      </w:pPr>
      <w:r>
        <w:rPr>
          <w:rFonts w:ascii="Times New Roman" w:eastAsia="Times New Roman" w:hAnsi="Times New Roman" w:cs="Times New Roman"/>
          <w:b w:val="0"/>
          <w:caps w:val="0"/>
          <w:sz w:val="22"/>
        </w:rPr>
        <w:t>z dnia 28 kwietnia 2020 r.</w:t>
      </w:r>
    </w:p>
    <w:p w:rsidR="00A77B3E">
      <w:pPr>
        <w:keepNext/>
        <w:spacing w:before="0" w:after="480" w:line="240" w:lineRule="auto"/>
        <w:ind w:left="0" w:right="0" w:firstLine="0"/>
        <w:jc w:val="center"/>
        <w:rPr>
          <w:rFonts w:ascii="Times New Roman" w:eastAsia="Times New Roman" w:hAnsi="Times New Roman" w:cs="Times New Roman"/>
          <w:b w:val="0"/>
          <w:caps w:val="0"/>
          <w:strike w:val="0"/>
          <w:color w:val="auto"/>
          <w:sz w:val="22"/>
          <w:u w:val="none"/>
        </w:rPr>
      </w:pPr>
      <w:r>
        <w:rPr>
          <w:rFonts w:ascii="Times New Roman" w:eastAsia="Times New Roman" w:hAnsi="Times New Roman" w:cs="Times New Roman"/>
          <w:b/>
          <w:caps w:val="0"/>
          <w:sz w:val="22"/>
        </w:rPr>
        <w:t>w sprawie zmiany Wieloletniej Prognozy Finansowej Powiatu Tarnogórskiego na lata 2020-2028</w:t>
      </w:r>
    </w:p>
    <w:p w:rsidR="00A77B3E">
      <w:pPr>
        <w:keepNext w:val="0"/>
        <w:keepLines/>
        <w:spacing w:before="120" w:after="120" w:line="240" w:lineRule="auto"/>
        <w:ind w:left="0" w:right="0" w:firstLine="227"/>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val="0"/>
          <w:i w:val="0"/>
          <w:caps w:val="0"/>
          <w:strike w:val="0"/>
          <w:color w:val="auto"/>
          <w:sz w:val="22"/>
          <w:u w:val="none"/>
          <w:vertAlign w:val="baseline"/>
        </w:rPr>
        <w:t>Na podstawie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226,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227,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228,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229,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230,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231, art. 232, 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242</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i</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art.</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243</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ustawy 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dnia 27</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sierpnia 2009</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roku o</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finansach publicznych (tekst jednolity: Dz.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U.</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2019r. poz.</w:t>
      </w:r>
      <w:r>
        <w:rPr>
          <w:rFonts w:ascii="Times New Roman" w:eastAsia="Times New Roman" w:hAnsi="Times New Roman" w:cs="Times New Roman"/>
          <w:b w:val="0"/>
          <w:i w:val="0"/>
          <w:caps w:val="0"/>
          <w:strike w:val="0"/>
          <w:color w:val="auto"/>
          <w:sz w:val="22"/>
          <w:u w:val="none"/>
          <w:vertAlign w:val="baseline"/>
        </w:rPr>
        <w:t> </w:t>
      </w:r>
      <w:r>
        <w:rPr>
          <w:rFonts w:ascii="Times New Roman" w:eastAsia="Times New Roman" w:hAnsi="Times New Roman" w:cs="Times New Roman"/>
          <w:b w:val="0"/>
          <w:i w:val="0"/>
          <w:caps w:val="0"/>
          <w:strike w:val="0"/>
          <w:color w:val="auto"/>
          <w:sz w:val="22"/>
          <w:u w:val="none"/>
          <w:vertAlign w:val="baseline"/>
        </w:rPr>
        <w:t>869 z późn. zm.</w:t>
      </w:r>
      <w:r>
        <w:rPr>
          <w:rStyle w:val="FootnoteReference"/>
        </w:rPr>
        <w:footnoteReference w:id="0"/>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 oraz Rozporządzenia Ministra Finansów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10</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stycznia 2013</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wieloletniej prognozy finansowej jednostki samorządu terytorialnego (tekst jednolity: Dz.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U.</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2015r. poz.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92 z późn. zm.</w:t>
      </w:r>
      <w:r>
        <w:rPr>
          <w:rStyle w:val="FootnoteReference"/>
        </w:rPr>
        <w:footnoteReference w:id="1"/>
      </w:r>
      <w:r>
        <w:rPr>
          <w:sz w:val="22"/>
          <w:vertAlign w:val="superscript"/>
        </w:rPr>
        <w:t>)</w:t>
      </w:r>
      <w:r>
        <w:rPr>
          <w:rFonts w:ascii="Times New Roman" w:eastAsia="Times New Roman" w:hAnsi="Times New Roman" w:cs="Times New Roman"/>
          <w:b w:val="0"/>
          <w:i w:val="0"/>
          <w:caps w:val="0"/>
          <w:strike w:val="0"/>
          <w:color w:val="000000"/>
          <w:sz w:val="22"/>
          <w:u w:val="none" w:color="000000"/>
          <w:vertAlign w:val="baseline"/>
        </w:rPr>
        <w:t>)</w:t>
      </w:r>
    </w:p>
    <w:p w:rsidR="00A77B3E">
      <w:pPr>
        <w:keepNext w:val="0"/>
        <w:keepLines w:val="0"/>
        <w:spacing w:before="120" w:after="120" w:line="240" w:lineRule="auto"/>
        <w:ind w:left="0" w:right="0" w:firstLine="0"/>
        <w:jc w:val="center"/>
        <w:rPr>
          <w:rFonts w:ascii="Times New Roman" w:eastAsia="Times New Roman" w:hAnsi="Times New Roman" w:cs="Times New Roman"/>
          <w:b/>
          <w:i w:val="0"/>
          <w:caps w:val="0"/>
          <w:strike w:val="0"/>
          <w:color w:val="000000"/>
          <w:sz w:val="22"/>
          <w:u w:val="none" w:color="000000"/>
          <w:vertAlign w:val="baseline"/>
        </w:rPr>
      </w:pPr>
      <w:r>
        <w:rPr>
          <w:rFonts w:ascii="Times New Roman" w:eastAsia="Times New Roman" w:hAnsi="Times New Roman" w:cs="Times New Roman"/>
          <w:b/>
          <w:i w:val="0"/>
          <w:caps w:val="0"/>
          <w:strike w:val="0"/>
          <w:color w:val="000000"/>
          <w:sz w:val="22"/>
          <w:u w:val="none" w:color="000000"/>
          <w:vertAlign w:val="baseline"/>
        </w:rPr>
        <w:t>Rada Powiatu</w:t>
      </w:r>
      <w:r>
        <w:rPr>
          <w:rFonts w:ascii="Times New Roman" w:eastAsia="Times New Roman" w:hAnsi="Times New Roman" w:cs="Times New Roman"/>
          <w:b/>
          <w:i w:val="0"/>
          <w:caps w:val="0"/>
          <w:strike w:val="0"/>
          <w:color w:val="000000"/>
          <w:sz w:val="22"/>
          <w:u w:val="none" w:color="000000"/>
          <w:vertAlign w:val="baseline"/>
        </w:rPr>
        <w:br/>
      </w:r>
      <w:r>
        <w:rPr>
          <w:rFonts w:ascii="Times New Roman" w:eastAsia="Times New Roman" w:hAnsi="Times New Roman" w:cs="Times New Roman"/>
          <w:b/>
          <w:i w:val="0"/>
          <w:caps w:val="0"/>
          <w:strike w:val="0"/>
          <w:color w:val="000000"/>
          <w:sz w:val="22"/>
          <w:u w:val="none" w:color="000000"/>
          <w:vertAlign w:val="baseline"/>
        </w:rPr>
        <w:t>uchwala:</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1. </w:t>
      </w:r>
      <w:r>
        <w:rPr>
          <w:rFonts w:ascii="Times New Roman" w:eastAsia="Times New Roman" w:hAnsi="Times New Roman" w:cs="Times New Roman"/>
          <w:b w:val="0"/>
          <w:i w:val="0"/>
          <w:caps w:val="0"/>
          <w:strike w:val="0"/>
          <w:color w:val="000000"/>
          <w:sz w:val="22"/>
          <w:u w:val="none" w:color="000000"/>
          <w:vertAlign w:val="baseline"/>
        </w:rPr>
        <w:t>Załącznik nr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XV/156/2019 Rady Powiatu Tarnogórskiego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Wieloletniej Prognozy Finansowej Powiatu Tarnogórskiego na lata 2020-2028 otrzymuje brzmienie według załącznika nr 1</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2. </w:t>
      </w:r>
      <w:r>
        <w:rPr>
          <w:rFonts w:ascii="Times New Roman" w:eastAsia="Times New Roman" w:hAnsi="Times New Roman" w:cs="Times New Roman"/>
          <w:b w:val="0"/>
          <w:i w:val="0"/>
          <w:caps w:val="0"/>
          <w:strike w:val="0"/>
          <w:color w:val="000000"/>
          <w:sz w:val="22"/>
          <w:u w:val="none" w:color="000000"/>
          <w:vertAlign w:val="baseline"/>
        </w:rPr>
        <w:t>Załącznik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uchwały nr XV/156/2019 Rady Powiatu Tarnogórskiego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dnia 17</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grudnia 2019</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roku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sprawie Wieloletniej Prognozy Finansowej Powiatu Tarnogórskiego na lata 2020-2028 otrzymuje brzmienie według załącznika nr 2</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3. </w:t>
      </w:r>
      <w:r>
        <w:rPr>
          <w:rFonts w:ascii="Times New Roman" w:eastAsia="Times New Roman" w:hAnsi="Times New Roman" w:cs="Times New Roman"/>
          <w:b w:val="0"/>
          <w:i w:val="0"/>
          <w:caps w:val="0"/>
          <w:strike w:val="0"/>
          <w:color w:val="000000"/>
          <w:sz w:val="22"/>
          <w:u w:val="none" w:color="000000"/>
          <w:vertAlign w:val="baseline"/>
        </w:rPr>
        <w:t>Objaśnienia wartości Wieloletniej Prognozy Finansowej Powiatu Tarnogórskiego na lata 2020-2028 przyjęte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związku ze zmianami dokonanymi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budżecie Powiatu Tarnogórskiego stanowią załącznik nr 3 do niniejszej uchwały.</w:t>
      </w:r>
    </w:p>
    <w:p w:rsidR="00A77B3E">
      <w:pPr>
        <w:keepNext w:val="0"/>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4. </w:t>
      </w:r>
      <w:r>
        <w:rPr>
          <w:rFonts w:ascii="Times New Roman" w:eastAsia="Times New Roman" w:hAnsi="Times New Roman" w:cs="Times New Roman"/>
          <w:b w:val="0"/>
          <w:i w:val="0"/>
          <w:caps w:val="0"/>
          <w:strike w:val="0"/>
          <w:color w:val="000000"/>
          <w:sz w:val="22"/>
          <w:u w:val="none" w:color="000000"/>
          <w:vertAlign w:val="baseline"/>
        </w:rPr>
        <w:t>Wykonanie uchwały powierza się Zarządowi Powiatu Tarnogórskiego.</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b/>
          <w:sz w:val="22"/>
        </w:rPr>
        <w:t>§ 5. </w:t>
      </w:r>
      <w:r>
        <w:rPr>
          <w:rFonts w:ascii="Times New Roman" w:eastAsia="Times New Roman" w:hAnsi="Times New Roman" w:cs="Times New Roman"/>
          <w:b w:val="0"/>
          <w:i w:val="0"/>
          <w:caps w:val="0"/>
          <w:strike w:val="0"/>
          <w:color w:val="000000"/>
          <w:sz w:val="22"/>
          <w:u w:val="none" w:color="000000"/>
          <w:vertAlign w:val="baseline"/>
        </w:rPr>
        <w:t>Uchwała wchodzi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życie z</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dniem podjęcia i</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podlega ogłoszeniu w</w:t>
      </w:r>
      <w:r>
        <w:rPr>
          <w:rFonts w:ascii="Times New Roman" w:eastAsia="Times New Roman" w:hAnsi="Times New Roman" w:cs="Times New Roman"/>
          <w:b w:val="0"/>
          <w:i w:val="0"/>
          <w:caps w:val="0"/>
          <w:strike w:val="0"/>
          <w:color w:val="000000"/>
          <w:sz w:val="22"/>
          <w:u w:val="none" w:color="000000"/>
          <w:vertAlign w:val="baseline"/>
        </w:rPr>
        <w:t> </w:t>
      </w:r>
      <w:r>
        <w:rPr>
          <w:rFonts w:ascii="Times New Roman" w:eastAsia="Times New Roman" w:hAnsi="Times New Roman" w:cs="Times New Roman"/>
          <w:b w:val="0"/>
          <w:i w:val="0"/>
          <w:caps w:val="0"/>
          <w:strike w:val="0"/>
          <w:color w:val="000000"/>
          <w:sz w:val="22"/>
          <w:u w:val="none" w:color="000000"/>
          <w:vertAlign w:val="baseline"/>
        </w:rPr>
        <w:t>sposób zwyczajowo przyjęty.</w:t>
      </w:r>
    </w:p>
    <w:p w:rsidR="00A77B3E">
      <w:pPr>
        <w:keepNext/>
        <w:keepLines/>
        <w:spacing w:before="120" w:after="120" w:line="240" w:lineRule="auto"/>
        <w:ind w:left="0" w:right="0" w:firstLine="340"/>
        <w:jc w:val="both"/>
        <w:rPr>
          <w:rFonts w:ascii="Times New Roman" w:eastAsia="Times New Roman" w:hAnsi="Times New Roman" w:cs="Times New Roman"/>
          <w:b w:val="0"/>
          <w:i w:val="0"/>
          <w:caps w:val="0"/>
          <w:strike w:val="0"/>
          <w:color w:val="000000"/>
          <w:sz w:val="22"/>
          <w:u w:val="none" w:color="000000"/>
          <w:vertAlign w:val="baseline"/>
        </w:rPr>
      </w:pPr>
    </w:p>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pPr>
      <w:r>
        <w:rPr>
          <w:b w:val="0"/>
          <w:i w:val="0"/>
          <w:color w:val="000000"/>
          <w:u w:val="none"/>
          <w:vertAlign w:val="baseline"/>
        </w:rPr>
        <w:t> </w:t>
      </w:r>
    </w:p>
    <w:tbl>
      <w:tblPr>
        <w:tblW w:w="5000" w:type="pct"/>
        <w:tblCellMar>
          <w:top w:w="0" w:type="dxa"/>
          <w:left w:w="0" w:type="dxa"/>
          <w:bottom w:w="0" w:type="dxa"/>
          <w:right w:w="0" w:type="dxa"/>
        </w:tblCellMar>
      </w:tblPr>
      <w:tblGrid>
        <w:gridCol w:w="5103"/>
        <w:gridCol w:w="5103"/>
      </w:tblGrid>
      <w:tr>
        <w:tblPrEx>
          <w:tblW w:w="5000" w:type="pct"/>
          <w:tblCellMar>
            <w:top w:w="0" w:type="dxa"/>
            <w:left w:w="0" w:type="dxa"/>
            <w:bottom w:w="0" w:type="dxa"/>
            <w:right w:w="0" w:type="dxa"/>
          </w:tblCellMar>
        </w:tblPrEx>
        <w:tc>
          <w:tcPr>
            <w:tcW w:w="2500" w:type="pct"/>
            <w:noWrap w:val="0"/>
            <w:tcMar>
              <w:top w:w="0" w:type="dxa"/>
              <w:left w:w="0" w:type="dxa"/>
              <w:bottom w:w="0" w:type="dxa"/>
              <w:right w:w="0" w:type="dxa"/>
            </w:tcMar>
            <w:vAlign w:val="top"/>
          </w:tcPr>
          <w:p>
            <w:pPr>
              <w:keepNext/>
              <w:keepLines/>
              <w:jc w:val="left"/>
              <w:rPr>
                <w:rFonts w:ascii="Times New Roman" w:eastAsia="Times New Roman" w:hAnsi="Times New Roman" w:cs="Times New Roman"/>
                <w:b w:val="0"/>
                <w:bCs w:val="0"/>
                <w:i w:val="0"/>
                <w:iCs w:val="0"/>
                <w:smallCaps w:val="0"/>
                <w:color w:val="000000"/>
                <w:sz w:val="22"/>
                <w:szCs w:val="22"/>
              </w:rPr>
            </w:pPr>
          </w:p>
        </w:tc>
        <w:tc>
          <w:tcPr>
            <w:tcW w:w="2500" w:type="pct"/>
            <w:noWrap w:val="0"/>
            <w:tcMar>
              <w:top w:w="0" w:type="dxa"/>
              <w:left w:w="0" w:type="dxa"/>
              <w:bottom w:w="0" w:type="dxa"/>
              <w:right w:w="0" w:type="dxa"/>
            </w:tcMar>
            <w:vAlign w:val="top"/>
          </w:tcPr>
          <w:p>
            <w:pPr>
              <w:keepNext/>
              <w:keepLines/>
              <w:spacing w:before="560" w:after="560"/>
              <w:ind w:left="1134" w:right="1134" w:firstLine="0"/>
              <w:jc w:val="center"/>
              <w:rPr>
                <w:rFonts w:ascii="Times New Roman" w:eastAsia="Times New Roman" w:hAnsi="Times New Roman" w:cs="Times New Roman"/>
                <w:b w:val="0"/>
                <w:bCs w:val="0"/>
                <w:i w:val="0"/>
                <w:iCs w:val="0"/>
                <w:smallCaps w:val="0"/>
                <w:color w:val="000000"/>
                <w:sz w:val="22"/>
                <w:szCs w:val="22"/>
              </w:rPr>
            </w:pPr>
            <w:r>
              <w:rPr>
                <w:rFonts w:ascii="Times New Roman" w:eastAsia="Times New Roman" w:hAnsi="Times New Roman" w:cs="Times New Roman"/>
                <w:b w:val="0"/>
                <w:bCs w:val="0"/>
                <w:i w:val="0"/>
                <w:iCs w:val="0"/>
                <w:smallCaps w:val="0"/>
                <w:color w:val="000000"/>
                <w:sz w:val="22"/>
                <w:szCs w:val="22"/>
              </w:rPr>
              <w:t>Przewodniczący Rady Powiatu</w:t>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rFonts w:ascii="Times New Roman" w:eastAsia="Times New Roman" w:hAnsi="Times New Roman" w:cs="Times New Roman"/>
                <w:b w:val="0"/>
                <w:bCs w:val="0"/>
                <w:i w:val="0"/>
                <w:iCs w:val="0"/>
                <w:smallCaps w:val="0"/>
                <w:color w:val="000000"/>
                <w:sz w:val="22"/>
                <w:szCs w:val="22"/>
              </w:rPr>
              <w:br/>
            </w:r>
            <w:r>
              <w:rPr>
                <w:b/>
                <w:i w:val="0"/>
              </w:rPr>
              <w:t>Przemysław Cichosz</w:t>
            </w:r>
          </w:p>
        </w:tc>
      </w:tr>
    </w:tbl>
    <w:p w:rsidR="00A77B3E">
      <w:pPr>
        <w:keepNext/>
        <w:spacing w:before="0" w:after="0"/>
        <w:rPr>
          <w:rFonts w:ascii="Times New Roman" w:eastAsia="Times New Roman" w:hAnsi="Times New Roman" w:cs="Times New Roman"/>
          <w:b w:val="0"/>
          <w:i w:val="0"/>
          <w:caps w:val="0"/>
          <w:strike w:val="0"/>
          <w:color w:val="000000"/>
          <w:sz w:val="22"/>
          <w:u w:val="none" w:color="000000"/>
          <w:vertAlign w:val="baseline"/>
        </w:rPr>
        <w:sectPr>
          <w:footerReference w:type="default" r:id="rId5"/>
          <w:endnotePr>
            <w:numFmt w:val="decimal"/>
          </w:endnotePr>
          <w:pgSz w:w="11906" w:h="16838"/>
          <w:pgMar w:top="850" w:right="850" w:bottom="1417" w:left="850" w:header="708" w:footer="708" w:gutter="0"/>
          <w:cols w:space="708"/>
          <w:docGrid w:linePitch="360"/>
        </w:sectPr>
      </w:pPr>
    </w:p>
    <w:p w:rsidR="00A77B3E">
      <w:pPr>
        <w:keepNext/>
        <w:spacing w:before="280" w:after="280" w:line="360" w:lineRule="auto"/>
        <w:ind w:left="4535"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sectPr>
          <w:footerReference w:type="default" r:id="rId6"/>
          <w:endnotePr>
            <w:numFmt w:val="decimal"/>
          </w:endnotePr>
          <w:type w:val="nextPage"/>
          <w:pgSz w:w="11906" w:h="16838"/>
          <w:pgMar w:top="850" w:right="850" w:bottom="1417" w:left="850" w:header="708" w:footer="708" w:gutter="0"/>
          <w:pgNumType w:start="1"/>
          <w:cols w:space="708"/>
          <w:docGrid w:linePitch="360"/>
        </w:sectPr>
      </w:pPr>
      <w:r>
        <w:rPr>
          <w:rFonts w:ascii="Times New Roman" w:eastAsia="Times New Roman" w:hAnsi="Times New Roman" w:cs="Times New Roman"/>
          <w:b w:val="0"/>
          <w:i w:val="0"/>
          <w:caps w:val="0"/>
          <w:strike w:val="0"/>
          <w:color w:val="000000"/>
          <w:sz w:val="22"/>
          <w:u w:val="none" w:color="000000"/>
          <w:vertAlign w:val="baseline"/>
        </w:rPr>
        <w:fldChar w:fldCharType="begin"/>
      </w:r>
      <w:r>
        <w:rPr>
          <w:rFonts w:ascii="Times New Roman" w:eastAsia="Times New Roman" w:hAnsi="Times New Roman" w:cs="Times New Roman"/>
          <w:b w:val="0"/>
          <w:i w:val="0"/>
          <w:caps w:val="0"/>
          <w:strike w:val="0"/>
          <w:color w:val="000000"/>
          <w:sz w:val="22"/>
          <w:u w:val="none" w:color="000000"/>
          <w:vertAlign w:val="baseline"/>
        </w:rPr>
        <w:fldChar w:fldCharType="separate"/>
      </w:r>
      <w:r>
        <w:rPr>
          <w:rFonts w:ascii="Times New Roman" w:eastAsia="Times New Roman" w:hAnsi="Times New Roman" w:cs="Times New Roman"/>
          <w:b w:val="0"/>
          <w:i w:val="0"/>
          <w:caps w:val="0"/>
          <w:strike w:val="0"/>
          <w:color w:val="000000"/>
          <w:sz w:val="22"/>
          <w:u w:val="none" w:color="000000"/>
          <w:vertAlign w:val="baseline"/>
        </w:rPr>
        <w:fldChar w:fldCharType="end"/>
      </w:r>
      <w:r>
        <w:t>Załącznik Nr 1 do uchwały</w:t>
      </w:r>
      <w:r>
        <w:rPr>
          <w:rFonts w:ascii="Times New Roman" w:eastAsia="Times New Roman" w:hAnsi="Times New Roman" w:cs="Times New Roman"/>
          <w:b w:val="0"/>
          <w:i w:val="0"/>
          <w:caps w:val="0"/>
          <w:strike w:val="0"/>
          <w:color w:val="000000"/>
          <w:sz w:val="22"/>
          <w:u w:val="none" w:color="000000"/>
          <w:vertAlign w:val="baseline"/>
        </w:rPr>
        <w:t xml:space="preserve"> Nr XVIII/183/2020</w:t>
      </w:r>
      <w:r>
        <w:rPr>
          <w:rFonts w:ascii="Times New Roman" w:eastAsia="Times New Roman" w:hAnsi="Times New Roman" w:cs="Times New Roman"/>
          <w:b w:val="0"/>
          <w:i w:val="0"/>
          <w:caps w:val="0"/>
          <w:strike w:val="0"/>
          <w:color w:val="000000"/>
          <w:sz w:val="22"/>
          <w:u w:val="none" w:color="000000"/>
          <w:vertAlign w:val="baseline"/>
        </w:rPr>
        <w:br/>
      </w:r>
      <w:r>
        <w:t>Rady Powiatu Tarnogórskiego</w:t>
      </w:r>
      <w:r>
        <w:rPr>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sz w:val="22"/>
        </w:rPr>
        <w:t>z dnia 28 kwietnia 2020 r.</w:t>
      </w:r>
      <w:r>
        <w:rPr>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instrText xml:space="preserve"> HYPERLINK "Zalacznik1.pdf" </w:instrText>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t>Zalacznik1.pdf</w:t>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p>
    <w:p w:rsidR="00A77B3E">
      <w:pPr>
        <w:keepNext/>
        <w:spacing w:before="280" w:after="280" w:line="360" w:lineRule="auto"/>
        <w:ind w:left="4535"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sectPr>
          <w:footerReference w:type="default" r:id="rId7"/>
          <w:endnotePr>
            <w:numFmt w:val="decimal"/>
          </w:endnotePr>
          <w:type w:val="nextPage"/>
          <w:pgSz w:w="11906" w:h="16838"/>
          <w:pgMar w:top="850" w:right="850" w:bottom="1417" w:left="850" w:header="708" w:footer="708" w:gutter="0"/>
          <w:pgNumType w:start="1"/>
          <w:cols w:space="708"/>
          <w:docGrid w:linePitch="360"/>
        </w:sectPr>
      </w:pP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r>
        <w:t>Załącznik Nr 2 do uchwały</w:t>
      </w:r>
      <w:r>
        <w:rPr>
          <w:rStyle w:val="Hyperlink"/>
          <w:rFonts w:ascii="Times New Roman" w:eastAsia="Times New Roman" w:hAnsi="Times New Roman" w:cs="Times New Roman"/>
          <w:b w:val="0"/>
          <w:i w:val="0"/>
          <w:caps w:val="0"/>
          <w:strike w:val="0"/>
          <w:color w:val="000000"/>
          <w:sz w:val="22"/>
          <w:u w:val="none" w:color="000000"/>
          <w:vertAlign w:val="baseline"/>
        </w:rPr>
        <w:t xml:space="preserve"> Nr XVIII/183/2020</w:t>
      </w:r>
      <w:r>
        <w:rPr>
          <w:rStyle w:val="Hyperlink"/>
          <w:rFonts w:ascii="Times New Roman" w:eastAsia="Times New Roman" w:hAnsi="Times New Roman" w:cs="Times New Roman"/>
          <w:b w:val="0"/>
          <w:i w:val="0"/>
          <w:caps w:val="0"/>
          <w:strike w:val="0"/>
          <w:color w:val="000000"/>
          <w:sz w:val="22"/>
          <w:u w:val="none" w:color="000000"/>
          <w:vertAlign w:val="baseline"/>
        </w:rPr>
        <w:br/>
      </w:r>
      <w:r>
        <w:t>Rady Powiatu Tarnogórskiego</w:t>
      </w:r>
      <w:r>
        <w:rPr>
          <w:rStyle w:val="Hyperlink"/>
          <w:rFonts w:ascii="Times New Roman" w:eastAsia="Times New Roman" w:hAnsi="Times New Roman" w:cs="Times New Roman"/>
          <w:b w:val="0"/>
          <w:i w:val="0"/>
          <w:caps w:val="0"/>
          <w:strike w:val="0"/>
          <w:color w:val="000000"/>
          <w:sz w:val="22"/>
          <w:u w:val="none" w:color="000000"/>
          <w:vertAlign w:val="baseline"/>
        </w:rPr>
        <w:br/>
      </w:r>
      <w:r>
        <w:rPr>
          <w:rFonts w:ascii="Times New Roman" w:eastAsia="Times New Roman" w:hAnsi="Times New Roman" w:cs="Times New Roman"/>
          <w:sz w:val="22"/>
        </w:rPr>
        <w:t>z dnia 28 kwietnia 2020 r.</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instrText xml:space="preserve"> HYPERLINK "Zalacznik2.pdf" </w:instrText>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t>Zalacznik2.pdf</w:t>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p>
    <w:p w:rsidR="00A77B3E">
      <w:pPr>
        <w:keepNext/>
        <w:spacing w:before="120" w:after="120" w:line="360" w:lineRule="auto"/>
        <w:ind w:left="5339" w:right="0" w:firstLine="0"/>
        <w:jc w:val="left"/>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fldChar w:fldCharType="begin"/>
      </w:r>
      <w:r>
        <w:rPr>
          <w:rStyle w:val="Hyperlink"/>
          <w:rFonts w:ascii="Times New Roman" w:eastAsia="Times New Roman" w:hAnsi="Times New Roman" w:cs="Times New Roman"/>
          <w:b w:val="0"/>
          <w:i w:val="0"/>
          <w:caps w:val="0"/>
          <w:strike w:val="0"/>
          <w:color w:val="000000"/>
          <w:sz w:val="22"/>
          <w:u w:val="none" w:color="000000"/>
          <w:vertAlign w:val="baseline"/>
        </w:rPr>
        <w:fldChar w:fldCharType="separate"/>
      </w:r>
      <w:r>
        <w:rPr>
          <w:rStyle w:val="Hyperlink"/>
          <w:rFonts w:ascii="Times New Roman" w:eastAsia="Times New Roman" w:hAnsi="Times New Roman" w:cs="Times New Roman"/>
          <w:b w:val="0"/>
          <w:i w:val="0"/>
          <w:caps w:val="0"/>
          <w:strike w:val="0"/>
          <w:color w:val="000000"/>
          <w:sz w:val="22"/>
          <w:u w:val="none" w:color="000000"/>
          <w:vertAlign w:val="baseline"/>
        </w:rPr>
        <w:fldChar w:fldCharType="end"/>
      </w:r>
      <w:r>
        <w:rPr>
          <w:rStyle w:val="Hyperlink"/>
          <w:rFonts w:ascii="Times New Roman" w:eastAsia="Times New Roman" w:hAnsi="Times New Roman" w:cs="Times New Roman"/>
          <w:b w:val="0"/>
          <w:i w:val="0"/>
          <w:caps w:val="0"/>
          <w:strike w:val="0"/>
          <w:color w:val="000000"/>
          <w:sz w:val="22"/>
          <w:u w:val="none" w:color="000000"/>
          <w:vertAlign w:val="baseline"/>
        </w:rPr>
        <w:t>Załącznik nr</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3</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do uchwały nr XVIII/183/2020</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Rady Powiatu Tarnogórskiego</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z dnia 28</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kwietnia 2020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r.</w:t>
      </w:r>
    </w:p>
    <w:p w:rsidR="00A77B3E">
      <w:pPr>
        <w:keepNext/>
        <w:spacing w:before="0" w:after="480" w:line="240" w:lineRule="auto"/>
        <w:ind w:left="0" w:right="0" w:firstLine="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i w:val="0"/>
          <w:caps w:val="0"/>
          <w:strike w:val="0"/>
          <w:color w:val="000000"/>
          <w:sz w:val="22"/>
          <w:u w:val="none" w:color="000000"/>
          <w:vertAlign w:val="baseline"/>
        </w:rPr>
        <w:t>Objaśnienia do zmian kategorii i</w:t>
      </w:r>
      <w:r>
        <w:rPr>
          <w:rStyle w:val="Hyperlink"/>
          <w:rFonts w:ascii="Times New Roman" w:eastAsia="Times New Roman" w:hAnsi="Times New Roman" w:cs="Times New Roman"/>
          <w:b/>
          <w:i w:val="0"/>
          <w:caps w:val="0"/>
          <w:strike w:val="0"/>
          <w:color w:val="000000"/>
          <w:sz w:val="22"/>
          <w:u w:val="none" w:color="000000"/>
          <w:vertAlign w:val="baseline"/>
        </w:rPr>
        <w:t> </w:t>
      </w:r>
      <w:r>
        <w:rPr>
          <w:rStyle w:val="Hyperlink"/>
          <w:rFonts w:ascii="Times New Roman" w:eastAsia="Times New Roman" w:hAnsi="Times New Roman" w:cs="Times New Roman"/>
          <w:b/>
          <w:i w:val="0"/>
          <w:caps w:val="0"/>
          <w:strike w:val="0"/>
          <w:color w:val="000000"/>
          <w:sz w:val="22"/>
          <w:u w:val="none" w:color="000000"/>
          <w:vertAlign w:val="baseline"/>
        </w:rPr>
        <w:t>wartości przyjętych w</w:t>
      </w:r>
      <w:r>
        <w:rPr>
          <w:rStyle w:val="Hyperlink"/>
          <w:rFonts w:ascii="Times New Roman" w:eastAsia="Times New Roman" w:hAnsi="Times New Roman" w:cs="Times New Roman"/>
          <w:b/>
          <w:i w:val="0"/>
          <w:caps w:val="0"/>
          <w:strike w:val="0"/>
          <w:color w:val="000000"/>
          <w:sz w:val="22"/>
          <w:u w:val="none" w:color="000000"/>
          <w:vertAlign w:val="baseline"/>
        </w:rPr>
        <w:t> </w:t>
      </w:r>
      <w:r>
        <w:rPr>
          <w:rStyle w:val="Hyperlink"/>
          <w:rFonts w:ascii="Times New Roman" w:eastAsia="Times New Roman" w:hAnsi="Times New Roman" w:cs="Times New Roman"/>
          <w:b/>
          <w:i w:val="0"/>
          <w:caps w:val="0"/>
          <w:strike w:val="0"/>
          <w:color w:val="000000"/>
          <w:sz w:val="22"/>
          <w:u w:val="none" w:color="000000"/>
          <w:vertAlign w:val="baseline"/>
        </w:rPr>
        <w:t>Wieloletniej Prognozie Finansowej Powiatu Tarnogórskiego na lata 2020</w:t>
      </w:r>
      <w:r>
        <w:rPr>
          <w:rStyle w:val="Hyperlink"/>
          <w:rFonts w:ascii="Times New Roman" w:eastAsia="Times New Roman" w:hAnsi="Times New Roman" w:cs="Times New Roman"/>
          <w:b/>
          <w:i w:val="0"/>
          <w:caps w:val="0"/>
          <w:strike w:val="0"/>
          <w:color w:val="000000"/>
          <w:sz w:val="22"/>
          <w:u w:val="none" w:color="000000"/>
          <w:vertAlign w:val="baseline"/>
        </w:rPr>
        <w:t> </w:t>
      </w:r>
      <w:r>
        <w:rPr>
          <w:rStyle w:val="Hyperlink"/>
          <w:rFonts w:ascii="Times New Roman" w:eastAsia="Times New Roman" w:hAnsi="Times New Roman" w:cs="Times New Roman"/>
          <w:b/>
          <w:i w:val="0"/>
          <w:caps w:val="0"/>
          <w:strike w:val="0"/>
          <w:color w:val="000000"/>
          <w:sz w:val="22"/>
          <w:u w:val="none" w:color="000000"/>
          <w:vertAlign w:val="baseline"/>
        </w:rPr>
        <w:t>– 2028</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Zmiany w prognozie i przedsięwzięciach wieloletnich mają na celu dostosowanie ich do zmian w budżecie dokonanych w miesiącach luty-kwiecień. Zmianie, w stosunku do poprzedniej prognozy uległy, wszystkie oprócz rozchodów, podstawowe kategorie roku bieżącego, a także wartość dochodów i wydatków w latach 2021-2022. Korekty dla roku bieżącego przedstawiono w poniższej tabeli.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
      <w:tblGrid>
        <w:gridCol w:w="763"/>
        <w:gridCol w:w="3066"/>
        <w:gridCol w:w="2669"/>
        <w:gridCol w:w="2161"/>
        <w:gridCol w:w="176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PrEx>
        <w:trPr>
          <w:trHeight w:hRule="auto" w:val="0"/>
        </w:trPr>
        <w:tc>
          <w:tcPr>
            <w:tcW w:w="72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rPr>
              <w:t>Lp.</w:t>
            </w:r>
          </w:p>
        </w:tc>
        <w:tc>
          <w:tcPr>
            <w:tcW w:w="2895" w:type="dxa"/>
            <w:tcBorders>
              <w:top w:val="single" w:sz="2" w:space="0" w:color="auto"/>
              <w:left w:val="nil"/>
              <w:bottom w:val="single" w:sz="2" w:space="0" w:color="auto"/>
              <w:right w:val="single" w:sz="2" w:space="0" w:color="auto"/>
            </w:tcBorders>
            <w:noWrap w:val="0"/>
            <w:tcMar>
              <w:top w:w="0" w:type="dxa"/>
              <w:left w:w="108" w:type="dxa"/>
              <w:bottom w:w="0" w:type="dxa"/>
              <w:right w:w="108"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rPr>
              <w:t>Tytuł pozycji</w:t>
            </w:r>
          </w:p>
        </w:tc>
        <w:tc>
          <w:tcPr>
            <w:tcW w:w="2520" w:type="dxa"/>
            <w:tcBorders>
              <w:top w:val="single" w:sz="2" w:space="0" w:color="auto"/>
              <w:left w:val="nil"/>
              <w:bottom w:val="single" w:sz="2" w:space="0" w:color="auto"/>
              <w:right w:val="single" w:sz="2" w:space="0" w:color="auto"/>
            </w:tcBorders>
            <w:noWrap w:val="0"/>
            <w:tcMar>
              <w:top w:w="0" w:type="dxa"/>
              <w:left w:w="108" w:type="dxa"/>
              <w:bottom w:w="0" w:type="dxa"/>
              <w:right w:w="108"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rPr>
              <w:t xml:space="preserve">Wartość WPF z poprzedniej prognozy z dnia 25.02.2020r. </w:t>
            </w:r>
          </w:p>
        </w:tc>
        <w:tc>
          <w:tcPr>
            <w:tcW w:w="20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rPr>
              <w:t>Wartość WPF z obecnej uchwały</w:t>
            </w:r>
          </w:p>
        </w:tc>
        <w:tc>
          <w:tcPr>
            <w:tcW w:w="1665" w:type="dxa"/>
            <w:tcBorders>
              <w:top w:val="single" w:sz="2" w:space="0" w:color="auto"/>
              <w:left w:val="nil"/>
              <w:bottom w:val="single" w:sz="2" w:space="0" w:color="auto"/>
              <w:right w:val="single" w:sz="2" w:space="0" w:color="auto"/>
            </w:tcBorders>
            <w:noWrap w:val="0"/>
            <w:tcMar>
              <w:top w:w="0" w:type="dxa"/>
              <w:left w:w="108" w:type="dxa"/>
              <w:bottom w:w="0" w:type="dxa"/>
              <w:right w:w="108" w:type="dxa"/>
            </w:tcMar>
            <w:textDirection w:val="lrTb"/>
            <w:vAlign w:val="top"/>
          </w:tcPr>
          <w:p w:rsidR="00A77B3E">
            <w:pPr>
              <w:spacing w:before="0" w:after="0"/>
              <w:jc w:val="center"/>
              <w:rPr>
                <w:rStyle w:val="Hyperlink"/>
                <w:rFonts w:ascii="Times New Roman" w:eastAsia="Times New Roman" w:hAnsi="Times New Roman" w:cs="Times New Roman"/>
                <w:b w:val="0"/>
                <w:i w:val="0"/>
                <w:caps w:val="0"/>
                <w:strike w:val="0"/>
                <w:color w:val="000000"/>
                <w:sz w:val="22"/>
                <w:u w:val="none" w:color="000000"/>
                <w:vertAlign w:val="baseline"/>
              </w:rPr>
            </w:pPr>
            <w:r>
              <w:rPr>
                <w:b/>
              </w:rPr>
              <w:t>Różnica</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w:t>
            </w:r>
          </w:p>
        </w:tc>
        <w:tc>
          <w:tcPr>
            <w:tcW w:w="289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t>Ogółem dochody</w:t>
            </w:r>
          </w:p>
        </w:tc>
        <w:tc>
          <w:tcPr>
            <w:tcW w:w="2520" w:type="dxa"/>
            <w:tcBorders>
              <w:top w:val="single" w:sz="2" w:space="0" w:color="auto"/>
              <w:left w:val="nil"/>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190</w:t>
            </w:r>
            <w:r>
              <w:t> </w:t>
            </w:r>
            <w:r>
              <w:t>614</w:t>
            </w:r>
            <w:r>
              <w:t> </w:t>
            </w:r>
            <w:r>
              <w:t>645,00</w:t>
            </w:r>
          </w:p>
        </w:tc>
        <w:tc>
          <w:tcPr>
            <w:tcW w:w="20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191</w:t>
            </w:r>
            <w:r>
              <w:t> </w:t>
            </w:r>
            <w:r>
              <w:t>328</w:t>
            </w:r>
            <w:r>
              <w:t> </w:t>
            </w:r>
            <w:r>
              <w:t>969,00</w:t>
            </w:r>
          </w:p>
        </w:tc>
        <w:tc>
          <w:tcPr>
            <w:tcW w:w="166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714</w:t>
            </w:r>
            <w:r>
              <w:t> </w:t>
            </w:r>
            <w:r>
              <w:t>324,00</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2</w:t>
            </w:r>
          </w:p>
        </w:tc>
        <w:tc>
          <w:tcPr>
            <w:tcW w:w="289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t>Ogółem wydatki</w:t>
            </w:r>
          </w:p>
        </w:tc>
        <w:tc>
          <w:tcPr>
            <w:tcW w:w="2520" w:type="dxa"/>
            <w:tcBorders>
              <w:top w:val="single" w:sz="2" w:space="0" w:color="auto"/>
              <w:left w:val="nil"/>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204</w:t>
            </w:r>
            <w:r>
              <w:t> </w:t>
            </w:r>
            <w:r>
              <w:t>420</w:t>
            </w:r>
            <w:r>
              <w:t> </w:t>
            </w:r>
            <w:r>
              <w:t>153,00</w:t>
            </w:r>
          </w:p>
        </w:tc>
        <w:tc>
          <w:tcPr>
            <w:tcW w:w="20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205</w:t>
            </w:r>
            <w:r>
              <w:t> </w:t>
            </w:r>
            <w:r>
              <w:t>196</w:t>
            </w:r>
            <w:r>
              <w:t> </w:t>
            </w:r>
            <w:r>
              <w:t>667,00</w:t>
            </w:r>
          </w:p>
        </w:tc>
        <w:tc>
          <w:tcPr>
            <w:tcW w:w="166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776</w:t>
            </w:r>
            <w:r>
              <w:t> </w:t>
            </w:r>
            <w:r>
              <w:t>514,00</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3</w:t>
            </w:r>
          </w:p>
        </w:tc>
        <w:tc>
          <w:tcPr>
            <w:tcW w:w="289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t>Wynik budżetu (1-2)</w:t>
            </w:r>
          </w:p>
        </w:tc>
        <w:tc>
          <w:tcPr>
            <w:tcW w:w="2520" w:type="dxa"/>
            <w:tcBorders>
              <w:top w:val="single" w:sz="2" w:space="0" w:color="auto"/>
              <w:left w:val="nil"/>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-13</w:t>
            </w:r>
            <w:r>
              <w:t> </w:t>
            </w:r>
            <w:r>
              <w:t>805</w:t>
            </w:r>
            <w:r>
              <w:t> </w:t>
            </w:r>
            <w:r>
              <w:t>508,00</w:t>
            </w:r>
          </w:p>
        </w:tc>
        <w:tc>
          <w:tcPr>
            <w:tcW w:w="20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-13</w:t>
            </w:r>
            <w:r>
              <w:t> </w:t>
            </w:r>
            <w:r>
              <w:t>867</w:t>
            </w:r>
            <w:r>
              <w:t> </w:t>
            </w:r>
            <w:r>
              <w:t>698,00</w:t>
            </w:r>
          </w:p>
        </w:tc>
        <w:tc>
          <w:tcPr>
            <w:tcW w:w="166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-62</w:t>
            </w:r>
            <w:r>
              <w:t> </w:t>
            </w:r>
            <w:r>
              <w:t>190,00</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4</w:t>
            </w:r>
          </w:p>
        </w:tc>
        <w:tc>
          <w:tcPr>
            <w:tcW w:w="289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t>Przychody ogółem</w:t>
            </w:r>
          </w:p>
        </w:tc>
        <w:tc>
          <w:tcPr>
            <w:tcW w:w="2520" w:type="dxa"/>
            <w:tcBorders>
              <w:top w:val="single" w:sz="2" w:space="0" w:color="auto"/>
              <w:left w:val="nil"/>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16</w:t>
            </w:r>
            <w:r>
              <w:t> </w:t>
            </w:r>
            <w:r>
              <w:t>709</w:t>
            </w:r>
            <w:r>
              <w:t> </w:t>
            </w:r>
            <w:r>
              <w:t>508,00</w:t>
            </w:r>
          </w:p>
        </w:tc>
        <w:tc>
          <w:tcPr>
            <w:tcW w:w="20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16</w:t>
            </w:r>
            <w:r>
              <w:t> </w:t>
            </w:r>
            <w:r>
              <w:t>771</w:t>
            </w:r>
            <w:r>
              <w:t> </w:t>
            </w:r>
            <w:r>
              <w:t>698,00</w:t>
            </w:r>
          </w:p>
        </w:tc>
        <w:tc>
          <w:tcPr>
            <w:tcW w:w="166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62</w:t>
            </w:r>
            <w:r>
              <w:t> </w:t>
            </w:r>
            <w:r>
              <w:t>190,00</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5</w:t>
            </w:r>
          </w:p>
        </w:tc>
        <w:tc>
          <w:tcPr>
            <w:tcW w:w="289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spacing w:before="0" w:after="0"/>
              <w:jc w:val="both"/>
              <w:rPr>
                <w:rStyle w:val="Hyperlink"/>
                <w:rFonts w:ascii="Times New Roman" w:eastAsia="Times New Roman" w:hAnsi="Times New Roman" w:cs="Times New Roman"/>
                <w:b w:val="0"/>
                <w:i w:val="0"/>
                <w:caps w:val="0"/>
                <w:strike w:val="0"/>
                <w:color w:val="000000"/>
                <w:sz w:val="22"/>
                <w:u w:val="none" w:color="000000"/>
                <w:vertAlign w:val="baseline"/>
              </w:rPr>
            </w:pPr>
            <w:r>
              <w:t>Rozchody budżetu</w:t>
            </w:r>
          </w:p>
        </w:tc>
        <w:tc>
          <w:tcPr>
            <w:tcW w:w="2520" w:type="dxa"/>
            <w:tcBorders>
              <w:top w:val="single" w:sz="2" w:space="0" w:color="auto"/>
              <w:left w:val="nil"/>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2</w:t>
            </w:r>
            <w:r>
              <w:t> </w:t>
            </w:r>
            <w:r>
              <w:t>904</w:t>
            </w:r>
            <w:r>
              <w:t> </w:t>
            </w:r>
            <w:r>
              <w:t>000,00</w:t>
            </w:r>
          </w:p>
        </w:tc>
        <w:tc>
          <w:tcPr>
            <w:tcW w:w="20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2</w:t>
            </w:r>
            <w:r>
              <w:t> </w:t>
            </w:r>
            <w:r>
              <w:t>904</w:t>
            </w:r>
            <w:r>
              <w:t> </w:t>
            </w:r>
            <w:r>
              <w:t>000,00</w:t>
            </w:r>
          </w:p>
        </w:tc>
        <w:tc>
          <w:tcPr>
            <w:tcW w:w="166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bottom"/>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0,00</w:t>
            </w:r>
          </w:p>
        </w:tc>
      </w:tr>
      <w:tr>
        <w:tblPrEx>
          <w:tblW w:w="5000" w:type="pct"/>
          <w:tblLayout w:type="fixed"/>
          <w:tblCellMar>
            <w:left w:w="108" w:type="dxa"/>
            <w:right w:w="108" w:type="dxa"/>
          </w:tblCellMar>
        </w:tblPrEx>
        <w:trPr>
          <w:trHeight w:hRule="auto" w:val="0"/>
        </w:trPr>
        <w:tc>
          <w:tcPr>
            <w:tcW w:w="720" w:type="dxa"/>
            <w:tcBorders>
              <w:top w:val="nil"/>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spacing w:before="0" w:after="0"/>
              <w:jc w:val="right"/>
              <w:rPr>
                <w:rStyle w:val="Hyperlink"/>
                <w:rFonts w:ascii="Times New Roman" w:eastAsia="Times New Roman" w:hAnsi="Times New Roman" w:cs="Times New Roman"/>
                <w:b w:val="0"/>
                <w:i w:val="0"/>
                <w:caps w:val="0"/>
                <w:strike w:val="0"/>
                <w:color w:val="000000"/>
                <w:sz w:val="22"/>
                <w:u w:val="none" w:color="000000"/>
                <w:vertAlign w:val="baseline"/>
              </w:rPr>
            </w:pPr>
            <w:r>
              <w:t>6</w:t>
            </w:r>
          </w:p>
        </w:tc>
        <w:tc>
          <w:tcPr>
            <w:tcW w:w="289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Wynik operacyjny brutto =</w:t>
            </w:r>
            <w:r>
              <w:rPr>
                <w:rStyle w:val="Hyperlink"/>
                <w:rFonts w:ascii="Times New Roman" w:eastAsia="Times New Roman" w:hAnsi="Times New Roman" w:cs="Times New Roman"/>
                <w:b w:val="0"/>
                <w:i w:val="0"/>
                <w:caps w:val="0"/>
                <w:strike w:val="0"/>
                <w:color w:val="000000"/>
                <w:sz w:val="22"/>
                <w:u w:val="none" w:color="000000"/>
                <w:vertAlign w:val="baseline"/>
              </w:rPr>
              <w:br/>
            </w:r>
            <w:r>
              <w:rPr>
                <w:rStyle w:val="Hyperlink"/>
                <w:rFonts w:ascii="Times New Roman" w:eastAsia="Times New Roman" w:hAnsi="Times New Roman" w:cs="Times New Roman"/>
                <w:b w:val="0"/>
                <w:i w:val="0"/>
                <w:caps w:val="0"/>
                <w:strike w:val="0"/>
                <w:color w:val="000000"/>
                <w:sz w:val="22"/>
                <w:u w:val="none" w:color="000000"/>
                <w:vertAlign w:val="baseline"/>
              </w:rPr>
              <w:t>dochody bieżące - wydatki bieżące</w:t>
            </w:r>
          </w:p>
        </w:tc>
        <w:tc>
          <w:tcPr>
            <w:tcW w:w="2520" w:type="dxa"/>
            <w:tcBorders>
              <w:top w:val="single" w:sz="2" w:space="0" w:color="auto"/>
              <w:left w:val="nil"/>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t>6</w:t>
            </w:r>
            <w:r>
              <w:t> </w:t>
            </w:r>
            <w:r>
              <w:t>924</w:t>
            </w:r>
            <w:r>
              <w:t> </w:t>
            </w:r>
            <w:r>
              <w:t>729,00</w:t>
            </w:r>
          </w:p>
        </w:tc>
        <w:tc>
          <w:tcPr>
            <w:tcW w:w="2040" w:type="dxa"/>
            <w:tcBorders>
              <w:top w:val="single" w:sz="2" w:space="0" w:color="auto"/>
              <w:left w:val="single" w:sz="2" w:space="0" w:color="auto"/>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t>7</w:t>
            </w:r>
            <w:r>
              <w:t> </w:t>
            </w:r>
            <w:r>
              <w:t>281</w:t>
            </w:r>
            <w:r>
              <w:t> </w:t>
            </w:r>
            <w:r>
              <w:t>072,00</w:t>
            </w:r>
          </w:p>
        </w:tc>
        <w:tc>
          <w:tcPr>
            <w:tcW w:w="1665" w:type="dxa"/>
            <w:tcBorders>
              <w:top w:val="nil"/>
              <w:left w:val="nil"/>
              <w:bottom w:val="single" w:sz="2" w:space="0" w:color="auto"/>
              <w:right w:val="single" w:sz="2" w:space="0" w:color="auto"/>
            </w:tcBorders>
            <w:noWrap w:val="0"/>
            <w:tcMar>
              <w:top w:w="0" w:type="dxa"/>
              <w:left w:w="108" w:type="dxa"/>
              <w:bottom w:w="0" w:type="dxa"/>
              <w:right w:w="108" w:type="dxa"/>
            </w:tcMar>
            <w:textDirection w:val="lrTb"/>
            <w:vAlign w:val="center"/>
          </w:tcPr>
          <w:p w:rsidR="00A77B3E">
            <w:pPr>
              <w:jc w:val="right"/>
              <w:rPr>
                <w:rStyle w:val="Hyperlink"/>
                <w:rFonts w:ascii="Times New Roman" w:eastAsia="Times New Roman" w:hAnsi="Times New Roman" w:cs="Times New Roman"/>
                <w:b w:val="0"/>
                <w:i w:val="0"/>
                <w:caps w:val="0"/>
                <w:strike w:val="0"/>
                <w:color w:val="000000"/>
                <w:sz w:val="22"/>
                <w:u w:val="none" w:color="000000"/>
                <w:vertAlign w:val="baseline"/>
              </w:rPr>
            </w:pPr>
            <w:r>
              <w:t>356</w:t>
            </w:r>
            <w:r>
              <w:t> </w:t>
            </w:r>
            <w:r>
              <w:t>343,00</w:t>
            </w:r>
          </w:p>
        </w:tc>
      </w:tr>
    </w:tbl>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Jako przyczynę zaistniałych zmian po stronie dochodowej wskazać należy: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otrzymanie od Ministra Finansów tzw. drugiej wersji wskaźników po uchwaleniu budżetu państwa. Ujemnej korekcie uległa tu wielkość części oświatowej subwencji ogólnej. Zrekompensowana ona została zmniejszonymi wydatkami przeznaczonymi na ewentualny zwrot nadmiernie pobranej subwencji oświatowej za lata 2014-2015;</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zwiększenie planu dotacji otrzymanych od Wojewody celem dofinansowania zadań zleconych w gospodarce nieruchomościami, straży pożarnej oraz Zespole ds. Orzekania o Niepełnosprawności;</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otrzymanie dofinansowania z Miasta Tarnowskie Góry na remont zabytkowych rzeźb zlokalizowanych przy Zespole Szkół Artystyczno-Projektowych;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otrzymanie dofinansowania z budżetu Górnośląsko-Zagłębiowskiej Metropolii na zakup specjalistycznego sprzętu medycznego;</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Style w:val="Hyperlink"/>
          <w:rFonts w:ascii="Times New Roman" w:eastAsia="Times New Roman" w:hAnsi="Times New Roman" w:cs="Times New Roman"/>
          <w:b w:val="0"/>
          <w:i w:val="0"/>
          <w:caps w:val="0"/>
          <w:strike w:val="0"/>
          <w:color w:val="000000"/>
          <w:sz w:val="22"/>
          <w:u w:val="none" w:color="000000"/>
          <w:vertAlign w:val="baseline"/>
        </w:rPr>
        <w:t>otrzymanie wyższej niż zakładano kwoty z Funduszu Pracy na wynagrodzenia pracowników Powiatowego Urzędu Pracy;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Style w:val="Hyperlink"/>
          <w:rFonts w:ascii="Times New Roman" w:eastAsia="Times New Roman" w:hAnsi="Times New Roman" w:cs="Times New Roman"/>
          <w:b w:val="0"/>
          <w:i w:val="0"/>
          <w:caps w:val="0"/>
          <w:strike w:val="0"/>
          <w:color w:val="000000"/>
          <w:sz w:val="22"/>
          <w:u w:val="none" w:color="000000"/>
          <w:vertAlign w:val="baseline"/>
        </w:rPr>
        <w:t>wygenerowanie dodatkowych dochodów w Starostwie Powiatowym oraz jednostkach podległych (dps-y).</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Zmiany w planie wydatków były rezultatem:</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zmian w planowanych dochodach, o których mowa powyżej;</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zaangażowania przychodów:</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celem dofinansowania projektów unijnych w oświacie, w związku z niepełną realizacją wydatków w latach ubiegłych;</w:t>
      </w:r>
    </w:p>
    <w:p w:rsidR="00A77B3E">
      <w:pPr>
        <w:keepNext w:val="0"/>
        <w:keepLines w:val="0"/>
        <w:spacing w:before="120" w:after="120" w:line="240" w:lineRule="auto"/>
        <w:ind w:left="340" w:right="0" w:hanging="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celem sfinansowania dokumentacji projektowej dla zadania termomodernizacji budynków Zespołu Szkół Budowlano-Architektonicznych;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przeniesień pomiędzy poszczególnymi tytułami w grupie wydatków. Zabezpieczono między innymi środki na zwiększony odpis na ZFŚS, leasing samochodu na potrzeby Zarządu Dróg Powiatowych, roboty dodatkowe celem przebudowy sanitariatów w Zespole Szkół Technicznych i Ogólnokształcących oraz remont ogrodzenia przy Zespole Szkół Artystyczno-Projektowych. Zaangażowano ponadto środki z rezerwy utworzonej na podstawie ustawy o zarządzaniu kryzysowym na zakup materiałów i usług związanych ze zwalczaniem epidemii koronawirusa.</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analizowanym okresie nie uległa zmianie wartość planowanych rozchodów roku 2020. Co zaś się tyczy lat 2021-2022 zwiększono plan dochodów i wydatków majątkowych o wartość planowanej do otrzymania dotacji strukturalnej na modernizację warsztatów szkolnych w Zespole Szkół Gastronomiczno-Hotelarskich oraz budowę warsztatów szkolnych w Zespole Szkół Budowlano-Architektonicznych (łącznie o 850 tys. zł w roku 2021 i 3</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400 tys. zł w roku 2022).Planuje się, iż w powyższych zadaniach dotacja strukturalna będzie stanowić do 85% wartości kosztorysowych przedsięwzięć. Jeśli zaś chodzi o pozostałą część wydatków majątkowych w obu zadaniach, finansowaną środkami własnymi, nie ma konieczności dokonania dodatkowych korekt w omawianych latach. Przy tworzeniu bowiem wieloletniej prognozy założono w latach przyszłych pewną rezerwę środków w segmencie majątkowym na wypadek przystąpienia do realizacji nowych zadań, wzrostu wartości kosztorysowej, czy też możliwości aplikowania o dodatkowe środki zewnętrzne.</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Dokonane zmiany pozytywnie wpłynęły na relacje ustawowe określone w art. 242 i 243 ustawy o finansach publicznych. A to generalnie w związku  przeniesieniami środków z planu wydatków bieżących na majątkowe oraz sfinansowaniem nowych wydatków majątkowych ponadplanowo wygenerowanymi dochodami bieżącymi. Podkreślenia wymaga fakt, iż obie analizowane relacje spełnione są, zarówno w roku obecnym, jak też i w latach przyszłych, ze stosunkowo bezpieczną nadwyżką.</w:t>
      </w:r>
    </w:p>
    <w:p w:rsidR="00A77B3E">
      <w:pPr>
        <w:keepNext w:val="0"/>
        <w:keepLines w:val="0"/>
        <w:spacing w:before="120" w:after="120" w:line="240" w:lineRule="auto"/>
        <w:ind w:left="283" w:right="0" w:firstLine="227"/>
        <w:jc w:val="both"/>
        <w:rPr>
          <w:rStyle w:val="Hyperlink"/>
          <w:rFonts w:ascii="Times New Roman" w:eastAsia="Times New Roman" w:hAnsi="Times New Roman" w:cs="Times New Roman"/>
          <w:b w:val="0"/>
          <w:i w:val="0"/>
          <w:caps w:val="0"/>
          <w:strike w:val="0"/>
          <w:color w:val="000000"/>
          <w:sz w:val="22"/>
          <w:u w:val="none" w:color="000000"/>
          <w:vertAlign w:val="baseline"/>
        </w:rPr>
      </w:pPr>
      <w:r>
        <w:rPr>
          <w:rStyle w:val="Hyperlink"/>
          <w:rFonts w:ascii="Times New Roman" w:eastAsia="Times New Roman" w:hAnsi="Times New Roman" w:cs="Times New Roman"/>
          <w:b w:val="0"/>
          <w:i w:val="0"/>
          <w:caps w:val="0"/>
          <w:strike w:val="0"/>
          <w:color w:val="000000"/>
          <w:sz w:val="22"/>
          <w:u w:val="none" w:color="000000"/>
          <w:vertAlign w:val="baseline"/>
        </w:rPr>
        <w:t>W wykazie przedsięwzięć stanowiącym załącznik nr 2 zaszły następujące zmiany:</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1. </w:t>
      </w:r>
      <w:r>
        <w:rPr>
          <w:rStyle w:val="Hyperlink"/>
          <w:rFonts w:ascii="Times New Roman" w:eastAsia="Times New Roman" w:hAnsi="Times New Roman" w:cs="Times New Roman"/>
          <w:b w:val="0"/>
          <w:i w:val="0"/>
          <w:caps w:val="0"/>
          <w:strike w:val="0"/>
          <w:color w:val="000000"/>
          <w:sz w:val="22"/>
          <w:u w:val="none" w:color="000000"/>
          <w:vertAlign w:val="baseline"/>
        </w:rPr>
        <w:t>wprowadzono do wykazu zadanie inwestycyjne pod nazwą „Modernizacja warsztatów szkolnych w Zespole Szkół Gastronomiczno-Hotelarskich” realizowane w latach 2021-2022 przez Wydział Inwestycji i Drogownictwa w łącznej kwocie 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500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000,00 zł. Zadanie to, dofinansowane środkami strukturalnymi, ma na celu poprawę komfortu kształcenia i wyników nauczania dzięki wykorzystaniu bardziej nowoczesnych metod i technologii;</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2. </w:t>
      </w:r>
      <w:r>
        <w:rPr>
          <w:rStyle w:val="Hyperlink"/>
          <w:rFonts w:ascii="Times New Roman" w:eastAsia="Times New Roman" w:hAnsi="Times New Roman" w:cs="Times New Roman"/>
          <w:b w:val="0"/>
          <w:i w:val="0"/>
          <w:caps w:val="0"/>
          <w:strike w:val="0"/>
          <w:color w:val="000000"/>
          <w:sz w:val="22"/>
          <w:u w:val="none" w:color="000000"/>
          <w:vertAlign w:val="baseline"/>
        </w:rPr>
        <w:t>wprowadzono do wykazu zadanie inwestycyjne pod nazwą „Budowa warsztatów szkolnych w Zespole Szkół Budowlano-Architektonicznych” realizowane w latach 2021-2022 przez Wydział Inwestycji i Drogownictwa w łącznej kwocie 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500</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000,00 zł. Zadanie to, dofinansowane środkami strukturalnymi, ma na celu poprawę komfortu kształcenia i wyników nauczania dzięki wykorzystaniu bardziej nowoczesnych metod i technologii;</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3. </w:t>
      </w:r>
      <w:r>
        <w:rPr>
          <w:rStyle w:val="Hyperlink"/>
          <w:rFonts w:ascii="Times New Roman" w:eastAsia="Times New Roman" w:hAnsi="Times New Roman" w:cs="Times New Roman"/>
          <w:b w:val="0"/>
          <w:i w:val="0"/>
          <w:caps w:val="0"/>
          <w:strike w:val="0"/>
          <w:color w:val="000000"/>
          <w:sz w:val="22"/>
          <w:u w:val="none" w:color="000000"/>
          <w:vertAlign w:val="baseline"/>
        </w:rPr>
        <w:t>wprowadzono do wykazu zadanie leasingu samochodu ciężarowego z wywrotką i hakiem na potrzeby Zarządu Dróg Powiatowych realizowane w latach 2020-2023 przez Wydział Inwestycji i Drogownictwa w łącznej kwocie 136</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700,00 zł. Zadanie to ma na celu poprawę infrastruktury drogowej i komfortu podróżowania;</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4. </w:t>
      </w:r>
      <w:r>
        <w:rPr>
          <w:rStyle w:val="Hyperlink"/>
          <w:rFonts w:ascii="Times New Roman" w:eastAsia="Times New Roman" w:hAnsi="Times New Roman" w:cs="Times New Roman"/>
          <w:b w:val="0"/>
          <w:i w:val="0"/>
          <w:caps w:val="0"/>
          <w:strike w:val="0"/>
          <w:color w:val="000000"/>
          <w:sz w:val="22"/>
          <w:u w:val="none" w:color="000000"/>
          <w:vertAlign w:val="baseline"/>
        </w:rPr>
        <w:t>zwiększono o kwotę 23</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913,00 zł limit wydatków roku 2020 oraz łączną wartość zadania „Przebudowa pomieszczeń sanitarnych w Zespole Szkół Technicznych i Ogólnokształcących w Tarnowskich Górach” prowadzonego przez Wydział Inwestycji i Drogownictwa, w związku z koniecznością realizacji robót dodatkowych;</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5. </w:t>
      </w:r>
      <w:r>
        <w:rPr>
          <w:rStyle w:val="Hyperlink"/>
          <w:rFonts w:ascii="Times New Roman" w:eastAsia="Times New Roman" w:hAnsi="Times New Roman" w:cs="Times New Roman"/>
          <w:b w:val="0"/>
          <w:i w:val="0"/>
          <w:caps w:val="0"/>
          <w:strike w:val="0"/>
          <w:color w:val="000000"/>
          <w:sz w:val="22"/>
          <w:u w:val="none" w:color="000000"/>
          <w:vertAlign w:val="baseline"/>
        </w:rPr>
        <w:t>zwiększono o kwotę 2</w:t>
      </w:r>
      <w:r>
        <w:rPr>
          <w:rStyle w:val="Hyperlink"/>
          <w:rFonts w:ascii="Times New Roman" w:eastAsia="Times New Roman" w:hAnsi="Times New Roman" w:cs="Times New Roman"/>
          <w:b w:val="0"/>
          <w:i w:val="0"/>
          <w:caps w:val="0"/>
          <w:strike w:val="0"/>
          <w:color w:val="000000"/>
          <w:sz w:val="22"/>
          <w:u w:val="none" w:color="000000"/>
          <w:vertAlign w:val="baseline"/>
        </w:rPr>
        <w:t> </w:t>
      </w:r>
      <w:r>
        <w:rPr>
          <w:rStyle w:val="Hyperlink"/>
          <w:rFonts w:ascii="Times New Roman" w:eastAsia="Times New Roman" w:hAnsi="Times New Roman" w:cs="Times New Roman"/>
          <w:b w:val="0"/>
          <w:i w:val="0"/>
          <w:caps w:val="0"/>
          <w:strike w:val="0"/>
          <w:color w:val="000000"/>
          <w:sz w:val="22"/>
          <w:u w:val="none" w:color="000000"/>
          <w:vertAlign w:val="baseline"/>
        </w:rPr>
        <w:t>000,00 zł limit wydatków roku 2020, nie zmieniając jednakże łącznej wysokości zaangażowanych środków, dla zadania „Innowacyjny staż krokiem w lepszą przyszłość” realizowanego przez Centrum Edukacji Ekonomiczno-Handlowej. Kwota ta stanowi wartość niewydatkowanych w roku 2019 środków;</w:t>
      </w:r>
    </w:p>
    <w:p w:rsidR="00A77B3E">
      <w:pPr>
        <w:keepNext w:val="0"/>
        <w:keepLines/>
        <w:spacing w:before="120" w:after="120" w:line="240" w:lineRule="auto"/>
        <w:ind w:left="0" w:right="0" w:firstLine="340"/>
        <w:jc w:val="both"/>
        <w:rPr>
          <w:rStyle w:val="Hyperlink"/>
          <w:rFonts w:ascii="Times New Roman" w:eastAsia="Times New Roman" w:hAnsi="Times New Roman" w:cs="Times New Roman"/>
          <w:b w:val="0"/>
          <w:i w:val="0"/>
          <w:caps w:val="0"/>
          <w:strike w:val="0"/>
          <w:color w:val="000000"/>
          <w:sz w:val="22"/>
          <w:u w:val="none" w:color="000000"/>
          <w:vertAlign w:val="baseline"/>
        </w:rPr>
      </w:pPr>
      <w:r>
        <w:rPr>
          <w:rFonts w:ascii="Times New Roman" w:eastAsia="Times New Roman" w:hAnsi="Times New Roman" w:cs="Times New Roman"/>
          <w:sz w:val="22"/>
        </w:rPr>
        <w:t>6. </w:t>
      </w:r>
      <w:r>
        <w:rPr>
          <w:rStyle w:val="Hyperlink"/>
          <w:rFonts w:ascii="Times New Roman" w:eastAsia="Times New Roman" w:hAnsi="Times New Roman" w:cs="Times New Roman"/>
          <w:b w:val="0"/>
          <w:i w:val="0"/>
          <w:caps w:val="0"/>
          <w:strike w:val="0"/>
          <w:color w:val="000000"/>
          <w:sz w:val="22"/>
          <w:u w:val="none" w:color="000000"/>
          <w:vertAlign w:val="baseline"/>
        </w:rPr>
        <w:t>zwiększono o kwotę 190,00 zł limit wydatków roku 2020, nie zmieniając jednakże łącznej wysokości zaangażowanych środków, dla zadania „Ponadnarodowa mobilność uczniów i absolwentów oraz kadry kształcenia zawodowego” realizowanego przez Zespół Szkół Artystyczno-Projektowych. Kwota ta stanowi wartość niewydatkowanych w latach ubiegłych środków.</w:t>
      </w:r>
    </w:p>
    <w:sectPr>
      <w:footerReference w:type="default" r:id="rId8"/>
      <w:endnotePr>
        <w:numFmt w:val="decimal"/>
      </w:endnotePr>
      <w:type w:val="nextPage"/>
      <w:pgSz w:w="11906" w:h="16838"/>
      <w:pgMar w:top="850" w:right="850" w:bottom="1417" w:left="850" w:header="708" w:footer="708"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5678D017-6B8E-4C77-A347-6E11B772BBEE. Podpisany</w:t>
          </w:r>
        </w:p>
      </w:tc>
      <w:tc>
        <w:tcPr>
          <w:tcW w:w="3402"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5678D017-6B8E-4C77-A347-6E11B772BBEE. Podpisany</w:t>
          </w:r>
        </w:p>
      </w:tc>
      <w:tc>
        <w:tcPr>
          <w:tcW w:w="3402"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5678D017-6B8E-4C77-A347-6E11B772BBEE. Podpisany</w:t>
          </w:r>
        </w:p>
      </w:tc>
      <w:tc>
        <w:tcPr>
          <w:tcW w:w="3402"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6804"/>
      <w:gridCol w:w="3402"/>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6804"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left"/>
            <w:rPr>
              <w:rFonts w:ascii="Times New Roman" w:eastAsia="Times New Roman" w:hAnsi="Times New Roman" w:cs="Times New Roman"/>
              <w:b w:val="0"/>
              <w:sz w:val="18"/>
            </w:rPr>
          </w:pPr>
          <w:r>
            <w:rPr>
              <w:rFonts w:ascii="Times New Roman" w:eastAsia="Times New Roman" w:hAnsi="Times New Roman" w:cs="Times New Roman"/>
              <w:b w:val="0"/>
              <w:sz w:val="18"/>
            </w:rPr>
            <w:t>Id: 5678D017-6B8E-4C77-A347-6E11B772BBEE. Podpisany</w:t>
          </w:r>
        </w:p>
      </w:tc>
      <w:tc>
        <w:tcPr>
          <w:tcW w:w="3402" w:type="dxa"/>
          <w:tcBorders>
            <w:top w:val="single" w:sz="2" w:space="0" w:color="auto"/>
            <w:left w:val="nil"/>
            <w:bottom w:val="nil"/>
            <w:right w:val="nil"/>
          </w:tcBorders>
          <w:noWrap w:val="0"/>
          <w:tcMar>
            <w:top w:w="100" w:type="dxa"/>
            <w:left w:w="108" w:type="dxa"/>
            <w:bottom w:w="0" w:type="dxa"/>
            <w:right w:w="108" w:type="dxa"/>
          </w:tcMar>
          <w:textDirection w:val="lrTb"/>
          <w:vAlign w:val="center"/>
        </w:tcPr>
        <w:p>
          <w:pPr>
            <w:jc w:val="righ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Strona </w:t>
          </w:r>
          <w:r>
            <w:rPr>
              <w:rFonts w:ascii="Times New Roman" w:eastAsia="Times New Roman" w:hAnsi="Times New Roman" w:cs="Times New Roman"/>
              <w:b w:val="0"/>
              <w:sz w:val="18"/>
            </w:rPr>
            <w:fldChar w:fldCharType="begin"/>
          </w:r>
          <w:r>
            <w:rPr>
              <w:rFonts w:ascii="Times New Roman" w:eastAsia="Times New Roman" w:hAnsi="Times New Roman" w:cs="Times New Roman"/>
              <w:b w:val="0"/>
              <w:sz w:val="18"/>
            </w:rPr>
            <w:instrText>PAGE</w:instrText>
          </w:r>
          <w:r>
            <w:rPr>
              <w:rFonts w:ascii="Times New Roman" w:eastAsia="Times New Roman" w:hAnsi="Times New Roman" w:cs="Times New Roman"/>
              <w:b w:val="0"/>
              <w:sz w:val="18"/>
            </w:rPr>
            <w:fldChar w:fldCharType="separate"/>
          </w:r>
          <w:r>
            <w:rPr>
              <w:rFonts w:ascii="Times New Roman" w:eastAsia="Times New Roman" w:hAnsi="Times New Roman" w:cs="Times New Roman"/>
              <w:b w:val="0"/>
              <w:sz w:val="18"/>
            </w:rPr>
            <w:fldChar w:fldCharType="end"/>
          </w:r>
        </w:p>
      </w:tc>
    </w:tr>
  </w:tbl>
  <w:p>
    <w:pPr>
      <w:rPr>
        <w:rFonts w:ascii="Times New Roman" w:eastAsia="Times New Roman" w:hAnsi="Times New Roman" w:cs="Times New Roman"/>
        <w:b w:val="0"/>
        <w:sz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0">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2018r. poz. 2245, z 2019r. poz. 1649, z 2020r. poz. 284, poz. 374, poz. 568, poz. 695</w:t>
      </w:r>
    </w:p>
  </w:footnote>
  <w:footnote w:id="1">
    <w:p>
      <w:pPr>
        <w:pStyle w:val="FootnoteText"/>
        <w:keepNext w:val="0"/>
        <w:keepLines/>
        <w:spacing w:before="0" w:after="0" w:line="240" w:lineRule="auto"/>
        <w:ind w:left="170" w:right="0" w:hanging="170"/>
        <w:jc w:val="both"/>
        <w:rPr>
          <w:rFonts w:ascii="Times New Roman" w:eastAsia="Times New Roman" w:hAnsi="Times New Roman" w:cs="Times New Roman"/>
          <w:sz w:val="20"/>
        </w:rPr>
      </w:pPr>
      <w:r>
        <w:rPr>
          <w:rStyle w:val="FootnoteReference"/>
        </w:rPr>
        <w:footnoteRef/>
      </w:r>
      <w:r>
        <w:rPr>
          <w:vertAlign w:val="superscript"/>
        </w:rPr>
        <w:t>) </w:t>
      </w:r>
      <w:r>
        <w:rPr>
          <w:rFonts w:ascii="Times New Roman" w:eastAsia="Times New Roman" w:hAnsi="Times New Roman" w:cs="Times New Roman"/>
          <w:b w:val="0"/>
          <w:caps w:val="0"/>
          <w:sz w:val="20"/>
        </w:rPr>
        <w:t>Przepisy wprowadzające zmiany opublikowano w: Dz. U. z 2019r. poz.1903</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efaultTabStop w:val="720"/>
  <w:noPunctuationKerning/>
  <w:characterSpacingControl w:val="doNotCompress"/>
  <w:endnotePr>
    <w:numFmt w:val="decimal"/>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jc w:val="both"/>
    </w:pPr>
    <w:rPr>
      <w:rFonts w:ascii="Times New Roman" w:eastAsia="Times New Roman" w:hAnsi="Times New Roman" w:cs="Times New Roman"/>
      <w:sz w:val="22"/>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basedOn w:val="DefaultParagraphFont"/>
    <w:rsid w:val="00805BCE"/>
    <w:rPr>
      <w:vertAlign w:val="superscript"/>
    </w:rPr>
  </w:style>
  <w:style w:type="paragraph" w:styleId="FootnoteText">
    <w:name w:val="footnote text"/>
    <w:basedOn w:val="Normal"/>
    <w:rsid w:val="00805BCE"/>
    <w:rPr>
      <w:sz w:val="20"/>
      <w:szCs w:val="20"/>
    </w:rPr>
  </w:style>
  <w:style w:type="character" w:styleId="Hyperlink">
    <w:name w:val="Hyperlink"/>
    <w:basedOn w:val="DefaultParagraphFont"/>
    <w:rsid w:val="00EF7B96"/>
    <w:rPr>
      <w:color w:val="0000FF"/>
      <w:u w:val="singl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footer" Target="footer4.xml" /><Relationship Id="rId9"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Rada Powiatu Tarnogórskiego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XVIII/183/2020 z dnia 28 kwietnia 2020 r.</dc:title>
  <dc:subject>w sprawie zmiany Wieloletniej Prognozy Finansowej Powiatu Tarnogórskiego na lata 2020-2028</dc:subject>
  <dc:creator>nr367</dc:creator>
  <cp:lastModifiedBy>nr367</cp:lastModifiedBy>
  <cp:revision>1</cp:revision>
  <dcterms:created xsi:type="dcterms:W3CDTF">2020-04-30T12:12:53Z</dcterms:created>
  <dcterms:modified xsi:type="dcterms:W3CDTF">2020-04-30T12:12:53Z</dcterms:modified>
  <cp:category>Akt prawny</cp:category>
</cp:coreProperties>
</file>